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68" w:rsidRPr="00150B11" w:rsidRDefault="003F7868" w:rsidP="003F7868">
      <w:pPr>
        <w:rPr>
          <w:rFonts w:ascii="Arial" w:hAnsi="Arial" w:cs="Arial"/>
          <w:b/>
          <w:sz w:val="24"/>
          <w:szCs w:val="24"/>
        </w:rPr>
      </w:pPr>
      <w:bookmarkStart w:id="0" w:name="_Toc65237111"/>
      <w:r w:rsidRPr="00150B11">
        <w:rPr>
          <w:rFonts w:ascii="Arial" w:hAnsi="Arial" w:cs="Arial"/>
          <w:b/>
          <w:sz w:val="24"/>
          <w:szCs w:val="24"/>
        </w:rPr>
        <w:t>PRILOG 1:  AKCIONI PLAN STRATEGIJE PIFC 2021-2027</w:t>
      </w:r>
      <w:bookmarkEnd w:id="0"/>
    </w:p>
    <w:p w:rsidR="003F7868" w:rsidRPr="00150B11" w:rsidRDefault="003F7868" w:rsidP="003F7868">
      <w:pPr>
        <w:rPr>
          <w:rFonts w:ascii="Arial" w:hAnsi="Arial" w:cs="Arial"/>
          <w:sz w:val="20"/>
          <w:szCs w:val="20"/>
        </w:rPr>
      </w:pPr>
    </w:p>
    <w:tbl>
      <w:tblPr>
        <w:tblStyle w:val="TableGrid"/>
        <w:tblW w:w="14885" w:type="dxa"/>
        <w:tblInd w:w="-431" w:type="dxa"/>
        <w:tblLayout w:type="fixed"/>
        <w:tblLook w:val="04A0" w:firstRow="1" w:lastRow="0" w:firstColumn="1" w:lastColumn="0" w:noHBand="0" w:noVBand="1"/>
      </w:tblPr>
      <w:tblGrid>
        <w:gridCol w:w="1794"/>
        <w:gridCol w:w="1609"/>
        <w:gridCol w:w="2268"/>
        <w:gridCol w:w="2409"/>
        <w:gridCol w:w="1418"/>
        <w:gridCol w:w="1984"/>
        <w:gridCol w:w="1418"/>
        <w:gridCol w:w="1985"/>
      </w:tblGrid>
      <w:tr w:rsidR="003F7868" w:rsidRPr="00150B11" w:rsidTr="00256E54">
        <w:trPr>
          <w:trHeight w:val="282"/>
        </w:trPr>
        <w:tc>
          <w:tcPr>
            <w:tcW w:w="14885" w:type="dxa"/>
            <w:gridSpan w:val="8"/>
            <w:shd w:val="clear" w:color="auto" w:fill="BDD6EE" w:themeFill="accent1" w:themeFillTint="66"/>
            <w:vAlign w:val="center"/>
          </w:tcPr>
          <w:p w:rsidR="003F7868" w:rsidRPr="00150B11" w:rsidRDefault="003F7868" w:rsidP="00256E54">
            <w:pPr>
              <w:rPr>
                <w:rFonts w:ascii="Arial" w:hAnsi="Arial" w:cs="Arial"/>
                <w:b/>
                <w:sz w:val="20"/>
                <w:szCs w:val="20"/>
              </w:rPr>
            </w:pPr>
            <w:r w:rsidRPr="00150B11">
              <w:rPr>
                <w:rFonts w:ascii="Arial" w:hAnsi="Arial" w:cs="Arial"/>
                <w:b/>
                <w:sz w:val="20"/>
                <w:szCs w:val="20"/>
              </w:rPr>
              <w:t xml:space="preserve">Oblast: 1. Finansijsko upravljanje i kontrola </w:t>
            </w:r>
          </w:p>
        </w:tc>
      </w:tr>
      <w:tr w:rsidR="003F7868" w:rsidRPr="00150B11" w:rsidTr="00256E54">
        <w:trPr>
          <w:trHeight w:val="400"/>
        </w:trPr>
        <w:tc>
          <w:tcPr>
            <w:tcW w:w="14885" w:type="dxa"/>
            <w:gridSpan w:val="8"/>
            <w:shd w:val="clear" w:color="auto" w:fill="BDD6EE" w:themeFill="accent1" w:themeFillTint="66"/>
            <w:vAlign w:val="center"/>
          </w:tcPr>
          <w:p w:rsidR="003F7868" w:rsidRPr="00150B11" w:rsidRDefault="003F7868" w:rsidP="00256E54">
            <w:pPr>
              <w:rPr>
                <w:rFonts w:ascii="Arial" w:hAnsi="Arial" w:cs="Arial"/>
                <w:b/>
                <w:sz w:val="20"/>
                <w:szCs w:val="20"/>
              </w:rPr>
            </w:pPr>
            <w:r w:rsidRPr="00150B11">
              <w:rPr>
                <w:rFonts w:ascii="Arial" w:hAnsi="Arial" w:cs="Arial"/>
                <w:b/>
                <w:sz w:val="20"/>
                <w:szCs w:val="20"/>
              </w:rPr>
              <w:t xml:space="preserve">Strateški cilj: Unaprijeđena upravljačka odgovornost i upravljanje rizicima u ključnim procesima kroz razvoj finansijskog upravljanja i kontrole  </w:t>
            </w:r>
          </w:p>
        </w:tc>
      </w:tr>
      <w:tr w:rsidR="003F7868" w:rsidRPr="00150B11" w:rsidTr="00256E54">
        <w:trPr>
          <w:trHeight w:val="920"/>
        </w:trPr>
        <w:tc>
          <w:tcPr>
            <w:tcW w:w="1794"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Prioritet</w:t>
            </w:r>
          </w:p>
        </w:tc>
        <w:tc>
          <w:tcPr>
            <w:tcW w:w="1609"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Rezultat</w:t>
            </w:r>
          </w:p>
        </w:tc>
        <w:tc>
          <w:tcPr>
            <w:tcW w:w="2268"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Mjera</w:t>
            </w:r>
          </w:p>
        </w:tc>
        <w:tc>
          <w:tcPr>
            <w:tcW w:w="2409"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Indikatori</w:t>
            </w:r>
          </w:p>
        </w:tc>
        <w:tc>
          <w:tcPr>
            <w:tcW w:w="1418"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Rok za realizaciju mjere</w:t>
            </w:r>
          </w:p>
        </w:tc>
        <w:tc>
          <w:tcPr>
            <w:tcW w:w="1984" w:type="dxa"/>
            <w:shd w:val="clear" w:color="auto" w:fill="BDD6EE" w:themeFill="accent1" w:themeFillTint="66"/>
            <w:vAlign w:val="center"/>
          </w:tcPr>
          <w:p w:rsidR="003F7868" w:rsidRPr="00256E54" w:rsidRDefault="00E17F92" w:rsidP="00256E54">
            <w:pPr>
              <w:jc w:val="center"/>
              <w:rPr>
                <w:rFonts w:ascii="Arial" w:hAnsi="Arial" w:cs="Arial"/>
                <w:b/>
                <w:sz w:val="20"/>
                <w:szCs w:val="20"/>
              </w:rPr>
            </w:pPr>
            <w:r>
              <w:rPr>
                <w:rFonts w:ascii="Arial" w:hAnsi="Arial" w:cs="Arial"/>
                <w:b/>
                <w:sz w:val="20"/>
                <w:szCs w:val="20"/>
              </w:rPr>
              <w:t>I</w:t>
            </w:r>
            <w:r w:rsidR="003F7868" w:rsidRPr="00256E54">
              <w:rPr>
                <w:rFonts w:ascii="Arial" w:hAnsi="Arial" w:cs="Arial"/>
                <w:b/>
                <w:sz w:val="20"/>
                <w:szCs w:val="20"/>
              </w:rPr>
              <w:t>zvori finansiranja</w:t>
            </w:r>
          </w:p>
        </w:tc>
        <w:tc>
          <w:tcPr>
            <w:tcW w:w="1418"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Odgovorne organizacije</w:t>
            </w:r>
          </w:p>
          <w:p w:rsidR="003F7868" w:rsidRPr="00256E54" w:rsidRDefault="003F7868" w:rsidP="00256E54">
            <w:pPr>
              <w:jc w:val="center"/>
              <w:rPr>
                <w:rFonts w:ascii="Arial" w:hAnsi="Arial" w:cs="Arial"/>
                <w:b/>
                <w:sz w:val="20"/>
                <w:szCs w:val="20"/>
              </w:rPr>
            </w:pPr>
          </w:p>
        </w:tc>
        <w:tc>
          <w:tcPr>
            <w:tcW w:w="1985"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Partnerske organizacije</w:t>
            </w:r>
          </w:p>
          <w:p w:rsidR="003F7868" w:rsidRPr="00256E54" w:rsidRDefault="003F7868" w:rsidP="00256E54">
            <w:pPr>
              <w:jc w:val="center"/>
              <w:rPr>
                <w:rFonts w:ascii="Arial" w:hAnsi="Arial" w:cs="Arial"/>
                <w:b/>
                <w:sz w:val="20"/>
                <w:szCs w:val="20"/>
              </w:rPr>
            </w:pPr>
          </w:p>
        </w:tc>
      </w:tr>
      <w:tr w:rsidR="003F7868" w:rsidRPr="00150B11" w:rsidTr="00256E54">
        <w:trPr>
          <w:trHeight w:val="1351"/>
        </w:trPr>
        <w:tc>
          <w:tcPr>
            <w:tcW w:w="1794"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1.1 Interne kontrole su usmjerene na rizike vezane za pouzdano upravljanje prihodima, rashodima, imovinom i obavezama</w:t>
            </w:r>
          </w:p>
        </w:tc>
        <w:tc>
          <w:tcPr>
            <w:tcW w:w="1609" w:type="dxa"/>
            <w:vMerge w:val="restart"/>
            <w:vAlign w:val="center"/>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Unaprijeđene kontrole u upravljanju prihodima, rashodima, imovinom i obavezama</w:t>
            </w:r>
          </w:p>
        </w:tc>
        <w:tc>
          <w:tcPr>
            <w:tcW w:w="2268"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1.1.1. Ažuriranje Smjernica za upravljanje rizicima u javnom sektoru u FBIH i standardizacija procesa upravljanja rizicima</w:t>
            </w:r>
          </w:p>
        </w:tc>
        <w:tc>
          <w:tcPr>
            <w:tcW w:w="2409" w:type="dxa"/>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Objavljene ažurirane Smjernice prilagođene dobroj praksi i prilozi uz smjernice su pripremljeni za informatizaciju </w:t>
            </w:r>
          </w:p>
          <w:p w:rsidR="003F7868" w:rsidRPr="00150B11" w:rsidRDefault="003F7868" w:rsidP="003F7868">
            <w:pPr>
              <w:rPr>
                <w:rFonts w:ascii="Arial" w:hAnsi="Arial" w:cs="Arial"/>
                <w:sz w:val="20"/>
                <w:szCs w:val="20"/>
              </w:rPr>
            </w:pP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w:t>
            </w:r>
            <w:r w:rsidR="00782C2D">
              <w:rPr>
                <w:rFonts w:ascii="Arial" w:hAnsi="Arial" w:cs="Arial"/>
                <w:sz w:val="20"/>
                <w:szCs w:val="20"/>
              </w:rPr>
              <w:t>2</w:t>
            </w:r>
            <w:r w:rsidRPr="00150B11">
              <w:rPr>
                <w:rFonts w:ascii="Arial" w:hAnsi="Arial" w:cs="Arial"/>
                <w:sz w:val="20"/>
                <w:szCs w:val="20"/>
              </w:rPr>
              <w:t xml:space="preserve"> 2021</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Budžet </w:t>
            </w:r>
          </w:p>
          <w:p w:rsidR="003F7868" w:rsidRPr="00150B11" w:rsidRDefault="003F7868" w:rsidP="003F7868">
            <w:pPr>
              <w:rPr>
                <w:rFonts w:ascii="Arial" w:hAnsi="Arial" w:cs="Arial"/>
                <w:sz w:val="20"/>
                <w:szCs w:val="20"/>
              </w:rPr>
            </w:pPr>
            <w:r w:rsidRPr="00150B11">
              <w:rPr>
                <w:rFonts w:ascii="Arial" w:hAnsi="Arial" w:cs="Arial"/>
                <w:sz w:val="20"/>
                <w:szCs w:val="20"/>
              </w:rPr>
              <w:t>TA Projekat</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(finansiranje i ekspertiza) </w:t>
            </w:r>
          </w:p>
          <w:p w:rsidR="003F7868" w:rsidRPr="00150B11" w:rsidRDefault="003F7868" w:rsidP="003F7868">
            <w:pPr>
              <w:rPr>
                <w:rFonts w:ascii="Arial" w:hAnsi="Arial" w:cs="Arial"/>
                <w:sz w:val="20"/>
                <w:szCs w:val="20"/>
              </w:rPr>
            </w:pPr>
          </w:p>
        </w:tc>
      </w:tr>
      <w:tr w:rsidR="003F7868" w:rsidRPr="00150B11" w:rsidTr="00256E54">
        <w:trPr>
          <w:trHeight w:val="1351"/>
        </w:trPr>
        <w:tc>
          <w:tcPr>
            <w:tcW w:w="1794" w:type="dxa"/>
            <w:vMerge/>
            <w:vAlign w:val="center"/>
          </w:tcPr>
          <w:p w:rsidR="003F7868" w:rsidRPr="00150B11" w:rsidRDefault="003F7868" w:rsidP="003F7868">
            <w:pPr>
              <w:rPr>
                <w:rFonts w:ascii="Arial" w:hAnsi="Arial" w:cs="Arial"/>
                <w:sz w:val="20"/>
                <w:szCs w:val="20"/>
              </w:rPr>
            </w:pPr>
          </w:p>
        </w:tc>
        <w:tc>
          <w:tcPr>
            <w:tcW w:w="1609" w:type="dxa"/>
            <w:vMerge/>
            <w:vAlign w:val="center"/>
          </w:tcPr>
          <w:p w:rsidR="003F7868" w:rsidRPr="00150B11" w:rsidRDefault="003F7868" w:rsidP="003F7868">
            <w:pPr>
              <w:rPr>
                <w:rFonts w:ascii="Arial" w:hAnsi="Arial" w:cs="Arial"/>
                <w:sz w:val="20"/>
                <w:szCs w:val="20"/>
              </w:rPr>
            </w:pPr>
          </w:p>
        </w:tc>
        <w:tc>
          <w:tcPr>
            <w:tcW w:w="2268"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1.1.2. Razvoj i instalacija softvera za registre rizika, uključujući obuku korisnika za korištenje softvera </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Informatizovani registri rizika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Q3 2021</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w:t>
            </w:r>
          </w:p>
          <w:p w:rsidR="003F7868" w:rsidRPr="00150B11" w:rsidRDefault="003F7868" w:rsidP="003F7868">
            <w:pPr>
              <w:rPr>
                <w:rFonts w:ascii="Arial" w:hAnsi="Arial" w:cs="Arial"/>
                <w:sz w:val="20"/>
                <w:szCs w:val="20"/>
              </w:rPr>
            </w:pP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(finansiranje i ekspertiza)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1351"/>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1.1.3. Procjena rizika i prijedlozi sistemskih kontrola u najznačajnijim procesima u organizaciji </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Unaprijeđeni registri rizika pojedinačnih organizacija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Prijedlog zaključaka Vlade FBiH i novih akata CHJ FMF za jačanje sistemskih kontrola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Kontinuirano do Q4 2027 </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Budžet FBiH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Korisnici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FMF Sektor za trezor</w:t>
            </w:r>
          </w:p>
          <w:p w:rsidR="003F7868" w:rsidRPr="00150B11" w:rsidRDefault="003F7868" w:rsidP="003F7868">
            <w:pPr>
              <w:rPr>
                <w:rFonts w:ascii="Arial" w:hAnsi="Arial" w:cs="Arial"/>
                <w:sz w:val="20"/>
                <w:szCs w:val="20"/>
              </w:rPr>
            </w:pPr>
            <w:r w:rsidRPr="00150B11">
              <w:rPr>
                <w:rFonts w:ascii="Arial" w:hAnsi="Arial" w:cs="Arial"/>
                <w:sz w:val="20"/>
                <w:szCs w:val="20"/>
              </w:rPr>
              <w:t>FMF Sektor za budžet</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w:t>
            </w:r>
          </w:p>
        </w:tc>
      </w:tr>
      <w:tr w:rsidR="003F7868" w:rsidRPr="00150B11" w:rsidTr="00256E54">
        <w:trPr>
          <w:trHeight w:val="1351"/>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1.1.4. Praćenje ažuriranja internih procedura korisnika sa rezultatima procjene rizika</w:t>
            </w:r>
          </w:p>
        </w:tc>
        <w:tc>
          <w:tcPr>
            <w:tcW w:w="2409" w:type="dxa"/>
            <w:shd w:val="clear" w:color="auto" w:fill="auto"/>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Broj ažuriranih internih procedura sa ugrađenim kontrolnim mehanizmima iskazan u okviru izvještavanja o FUK </w:t>
            </w:r>
          </w:p>
        </w:tc>
        <w:tc>
          <w:tcPr>
            <w:tcW w:w="1418" w:type="dxa"/>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Kontinuirano do Q4 2027</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Budžeti FBiH, kantona, JLU i vanbudžetskih fondova, kao i druga javna sredstva u okviru sredstava organizacija za redovne aktivnosti</w:t>
            </w:r>
          </w:p>
          <w:p w:rsidR="003F7868" w:rsidRPr="00150B11" w:rsidRDefault="003F7868" w:rsidP="003F7868">
            <w:pPr>
              <w:rPr>
                <w:rFonts w:ascii="Arial" w:hAnsi="Arial" w:cs="Arial"/>
                <w:sz w:val="20"/>
                <w:szCs w:val="20"/>
              </w:rPr>
            </w:pP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Organizacije javnog sektora – obveznici izvještavanja</w:t>
            </w:r>
          </w:p>
        </w:tc>
      </w:tr>
      <w:tr w:rsidR="003F7868" w:rsidRPr="00150B11" w:rsidTr="00256E54">
        <w:trPr>
          <w:trHeight w:val="992"/>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1.1.5. Pružanje podrške nivou kantona i JLU u jačanju sistema internih kontrola za bolje upravljanje sredstvima transfera i subvencija (prilagođavanje metodologija i praksi upravljanja transferima i subvencija, razmjena iskustava, edukacije osoblja i druge aktivnosti)</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organizacija na nivou kantona i JLU koji primjenjuju Smjernice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Broj održanih sastanaka i edukacija na temu boljeg upravljanja sredstvima transfera i subvencija</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Q4 2022</w:t>
            </w:r>
          </w:p>
        </w:tc>
        <w:tc>
          <w:tcPr>
            <w:tcW w:w="1984" w:type="dxa"/>
          </w:tcPr>
          <w:p w:rsidR="003F7868" w:rsidRPr="00150B11" w:rsidRDefault="003F7868" w:rsidP="003F7868">
            <w:pPr>
              <w:rPr>
                <w:rFonts w:ascii="Arial" w:hAnsi="Arial" w:cs="Arial"/>
                <w:sz w:val="20"/>
                <w:szCs w:val="20"/>
                <w:highlight w:val="yellow"/>
              </w:rPr>
            </w:pPr>
          </w:p>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highlight w:val="yellow"/>
              </w:rPr>
            </w:pPr>
          </w:p>
          <w:p w:rsidR="003F7868" w:rsidRPr="00150B11" w:rsidRDefault="003F7868" w:rsidP="003F7868">
            <w:pPr>
              <w:rPr>
                <w:rFonts w:ascii="Arial" w:hAnsi="Arial" w:cs="Arial"/>
                <w:sz w:val="20"/>
                <w:szCs w:val="20"/>
              </w:rPr>
            </w:pPr>
          </w:p>
        </w:tc>
        <w:tc>
          <w:tcPr>
            <w:tcW w:w="1418" w:type="dxa"/>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w:t>
            </w:r>
          </w:p>
          <w:p w:rsidR="003F7868" w:rsidRPr="00150B11" w:rsidRDefault="003F7868" w:rsidP="003F7868">
            <w:pPr>
              <w:rPr>
                <w:rFonts w:ascii="Arial" w:hAnsi="Arial" w:cs="Arial"/>
                <w:sz w:val="20"/>
                <w:szCs w:val="20"/>
              </w:rPr>
            </w:pP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Kantonalna ministarstva finansija, Službe za finansije u JLU Sektor za trezor</w:t>
            </w:r>
          </w:p>
          <w:p w:rsidR="003F7868" w:rsidRPr="00150B11" w:rsidRDefault="003F7868" w:rsidP="003F7868">
            <w:pPr>
              <w:rPr>
                <w:rFonts w:ascii="Arial" w:hAnsi="Arial" w:cs="Arial"/>
                <w:sz w:val="20"/>
                <w:szCs w:val="20"/>
              </w:rPr>
            </w:pPr>
            <w:r w:rsidRPr="00150B11">
              <w:rPr>
                <w:rFonts w:ascii="Arial" w:hAnsi="Arial" w:cs="Arial"/>
                <w:sz w:val="20"/>
                <w:szCs w:val="20"/>
              </w:rPr>
              <w:t>kantonalna MF, Sektor za budžet</w:t>
            </w:r>
          </w:p>
          <w:p w:rsidR="003F7868" w:rsidRPr="00150B11" w:rsidRDefault="003F7868" w:rsidP="003F7868">
            <w:pPr>
              <w:rPr>
                <w:rFonts w:ascii="Arial" w:hAnsi="Arial" w:cs="Arial"/>
                <w:sz w:val="20"/>
                <w:szCs w:val="20"/>
              </w:rPr>
            </w:pPr>
          </w:p>
        </w:tc>
      </w:tr>
      <w:tr w:rsidR="003F7868" w:rsidRPr="00150B11" w:rsidTr="00256E54">
        <w:trPr>
          <w:trHeight w:val="1351"/>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150B11" w:rsidP="003F7868">
            <w:pPr>
              <w:rPr>
                <w:rFonts w:ascii="Arial" w:hAnsi="Arial" w:cs="Arial"/>
                <w:sz w:val="20"/>
                <w:szCs w:val="20"/>
              </w:rPr>
            </w:pPr>
            <w:r>
              <w:rPr>
                <w:rFonts w:ascii="Arial" w:hAnsi="Arial" w:cs="Arial"/>
                <w:sz w:val="20"/>
                <w:szCs w:val="20"/>
              </w:rPr>
              <w:t>1.1.6. Unapr</w:t>
            </w:r>
            <w:r w:rsidR="003F7868" w:rsidRPr="00150B11">
              <w:rPr>
                <w:rFonts w:ascii="Arial" w:hAnsi="Arial" w:cs="Arial"/>
                <w:sz w:val="20"/>
                <w:szCs w:val="20"/>
              </w:rPr>
              <w:t>eđenje regulatornog osnova i aplikativnih kontrola nad informacijama i podacima u ISFU za upravljanje prihodima, rashodima, imovinom i obavezama</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Izvještaji iz ISFU FMF</w:t>
            </w:r>
          </w:p>
          <w:p w:rsidR="003F7868" w:rsidRPr="00150B11" w:rsidRDefault="003F7868" w:rsidP="003F7868">
            <w:pPr>
              <w:rPr>
                <w:rFonts w:ascii="Arial" w:hAnsi="Arial" w:cs="Arial"/>
                <w:sz w:val="20"/>
                <w:szCs w:val="20"/>
              </w:rPr>
            </w:pPr>
            <w:r w:rsidRPr="00150B11">
              <w:rPr>
                <w:rFonts w:ascii="Arial" w:hAnsi="Arial" w:cs="Arial"/>
                <w:sz w:val="20"/>
                <w:szCs w:val="20"/>
              </w:rPr>
              <w:t>Izvještaji iz ISFU kantonalnih ministarstava finansija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Izvještaji iz IS JLU</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Q4 2024</w:t>
            </w:r>
          </w:p>
        </w:tc>
        <w:tc>
          <w:tcPr>
            <w:tcW w:w="1984" w:type="dxa"/>
            <w:shd w:val="clear" w:color="auto" w:fill="auto"/>
          </w:tcPr>
          <w:p w:rsidR="00782C2D" w:rsidRPr="00150B11" w:rsidRDefault="00782C2D" w:rsidP="00782C2D">
            <w:pPr>
              <w:rPr>
                <w:rFonts w:ascii="Arial" w:hAnsi="Arial" w:cs="Arial"/>
                <w:sz w:val="20"/>
                <w:szCs w:val="20"/>
              </w:rPr>
            </w:pPr>
            <w:r>
              <w:rPr>
                <w:rFonts w:ascii="Arial" w:hAnsi="Arial" w:cs="Arial"/>
                <w:sz w:val="20"/>
                <w:szCs w:val="20"/>
              </w:rPr>
              <w:t>Budžeti FBiH, kantona, JLU</w:t>
            </w:r>
            <w:r w:rsidRPr="00150B11">
              <w:rPr>
                <w:rFonts w:ascii="Arial" w:hAnsi="Arial" w:cs="Arial"/>
                <w:sz w:val="20"/>
                <w:szCs w:val="20"/>
              </w:rPr>
              <w:t>, kao i druga javna sredstva u okviru sredstava organizacija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FMF Sektor za trezor</w:t>
            </w:r>
          </w:p>
          <w:p w:rsidR="003F7868" w:rsidRPr="00150B11" w:rsidRDefault="003F7868" w:rsidP="003F7868">
            <w:pPr>
              <w:rPr>
                <w:rFonts w:ascii="Arial" w:hAnsi="Arial" w:cs="Arial"/>
                <w:sz w:val="20"/>
                <w:szCs w:val="20"/>
              </w:rPr>
            </w:pPr>
            <w:r w:rsidRPr="00150B11">
              <w:rPr>
                <w:rFonts w:ascii="Arial" w:hAnsi="Arial" w:cs="Arial"/>
                <w:sz w:val="20"/>
                <w:szCs w:val="20"/>
              </w:rPr>
              <w:t>kantonalna ministarstva finansija/sektor za trezor</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JLU, službe za finansije</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1351"/>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1.1.7. Uvođenje kontrole nad stvaranjem višegodišnjih obaveza kroz izmjene Zakona o budžetima u FBiH</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Uvedena obaveza prethodnog mišljenja FMF/kantonalnih ministarstava finansija/službi za finansije JLU na finansijske odredbe i fiskalne učinke nacrta ugovora za višegodišnje obaveze </w:t>
            </w: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Q4 2024</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FMF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FMF Sektor za budžet i javne rashode </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r>
      <w:tr w:rsidR="003F7868" w:rsidRPr="00150B11" w:rsidTr="00256E54">
        <w:trPr>
          <w:trHeight w:val="756"/>
        </w:trPr>
        <w:tc>
          <w:tcPr>
            <w:tcW w:w="1794"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1.2 Interne kontrole su usmjerene na rizike za srednjoročno planiranje i programsko budžetiranje</w:t>
            </w:r>
          </w:p>
        </w:tc>
        <w:tc>
          <w:tcPr>
            <w:tcW w:w="1609"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Unaprijeđene kontrole za višegodišnje i programsko planiranje, ciljeve i rezultate </w:t>
            </w: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1.2.1. Ugraditi  upravljanje rizicima u  regulativu za srednjoročno planiranje i programsko budžetiranje</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Uputstvo / metodologija Usvojene odredbe u regulativi (koje zahtijevaju upravljanje rizicima)</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Q4 2025</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Budžet F</w:t>
            </w:r>
            <w:r w:rsidR="004C5840" w:rsidRPr="00150B11">
              <w:rPr>
                <w:rFonts w:ascii="Arial" w:hAnsi="Arial" w:cs="Arial"/>
                <w:sz w:val="20"/>
                <w:szCs w:val="20"/>
              </w:rPr>
              <w:t>B</w:t>
            </w:r>
            <w:r w:rsidRPr="00150B11">
              <w:rPr>
                <w:rFonts w:ascii="Arial" w:hAnsi="Arial" w:cs="Arial"/>
                <w:sz w:val="20"/>
                <w:szCs w:val="20"/>
              </w:rPr>
              <w:t>iH</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FMF Sektor za budžet i javne rashode</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Federalni zavod za programiranje razvoja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CHJ FMF</w:t>
            </w:r>
          </w:p>
        </w:tc>
      </w:tr>
      <w:tr w:rsidR="003F7868" w:rsidRPr="00150B11" w:rsidTr="00256E54">
        <w:trPr>
          <w:trHeight w:val="756"/>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1.2.2. Procjena rizika u odnosu na ciljeve iz srednjoročnih planova, ciljeve i pokazatelje uspješnosti iz budžetskih programa (pilot institucije)</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Registri rizika za budžetske programe pilot institucija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Q2 2024 </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Budžetski korisnici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r w:rsidRPr="00150B11">
              <w:rPr>
                <w:rFonts w:ascii="Arial" w:hAnsi="Arial" w:cs="Arial"/>
                <w:sz w:val="20"/>
                <w:szCs w:val="20"/>
              </w:rPr>
              <w:t>(veza sa aktivnosti 1.1)</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[Uslovljeno razvojem programskog budžetiranja]</w:t>
            </w:r>
          </w:p>
        </w:tc>
      </w:tr>
      <w:tr w:rsidR="003F7868" w:rsidRPr="00150B11" w:rsidTr="00256E54">
        <w:trPr>
          <w:trHeight w:val="756"/>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1.2.3. Internim aktima urediti uloge, ovlasti i odgovornosti aktera u realizaciji budžetskih programa (pilot institucije)</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Broj internih akata koji uređuju uloge, ovlasti i odgovornosti aktera u realizaciji budžetskih programa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Broj budžetskih programa sa uređenim ulogama, ovlastima i odgovornostima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Q2 2024</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organizacija za redovne aktivnosti</w:t>
            </w:r>
          </w:p>
          <w:p w:rsidR="003F7868" w:rsidRPr="00150B11" w:rsidRDefault="003F7868" w:rsidP="003F7868">
            <w:pPr>
              <w:rPr>
                <w:rFonts w:ascii="Arial" w:hAnsi="Arial" w:cs="Arial"/>
                <w:sz w:val="20"/>
                <w:szCs w:val="20"/>
              </w:rPr>
            </w:pP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Budžetski korisnici</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FMF</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 (veza sa aktivnosti 1.1)</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[Uslovljeno razvojem programskog budžetiranja]</w:t>
            </w:r>
          </w:p>
        </w:tc>
      </w:tr>
      <w:tr w:rsidR="003F7868" w:rsidRPr="00150B11" w:rsidTr="00256E54">
        <w:trPr>
          <w:trHeight w:val="756"/>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1.2.4. Ugraditi upravljanje rizicima u </w:t>
            </w:r>
            <w:r w:rsidRPr="00150B11">
              <w:rPr>
                <w:rFonts w:ascii="Arial" w:hAnsi="Arial" w:cs="Arial"/>
                <w:sz w:val="20"/>
                <w:szCs w:val="20"/>
              </w:rPr>
              <w:lastRenderedPageBreak/>
              <w:t xml:space="preserve">instrukciju za kapitalna ulaganja </w:t>
            </w:r>
          </w:p>
        </w:tc>
        <w:tc>
          <w:tcPr>
            <w:tcW w:w="2409" w:type="dxa"/>
          </w:tcPr>
          <w:p w:rsidR="003D2DB0" w:rsidRDefault="003D2DB0" w:rsidP="003F7868">
            <w:pPr>
              <w:rPr>
                <w:rFonts w:ascii="Arial" w:hAnsi="Arial" w:cs="Arial"/>
                <w:sz w:val="20"/>
                <w:szCs w:val="20"/>
              </w:rPr>
            </w:pPr>
            <w:r>
              <w:rPr>
                <w:rFonts w:ascii="Arial" w:hAnsi="Arial" w:cs="Arial"/>
                <w:sz w:val="20"/>
                <w:szCs w:val="20"/>
              </w:rPr>
              <w:lastRenderedPageBreak/>
              <w:t>Izrađena instrukcija za</w:t>
            </w:r>
            <w:r w:rsidR="00BD27DD">
              <w:rPr>
                <w:rFonts w:ascii="Arial" w:hAnsi="Arial" w:cs="Arial"/>
                <w:sz w:val="20"/>
                <w:szCs w:val="20"/>
              </w:rPr>
              <w:t xml:space="preserve"> </w:t>
            </w:r>
            <w:r>
              <w:rPr>
                <w:rFonts w:ascii="Arial" w:hAnsi="Arial" w:cs="Arial"/>
                <w:sz w:val="20"/>
                <w:szCs w:val="20"/>
              </w:rPr>
              <w:t xml:space="preserve">kapitalna ulaganja koja </w:t>
            </w:r>
            <w:r>
              <w:rPr>
                <w:rFonts w:ascii="Arial" w:hAnsi="Arial" w:cs="Arial"/>
                <w:sz w:val="20"/>
                <w:szCs w:val="20"/>
              </w:rPr>
              <w:lastRenderedPageBreak/>
              <w:t>sadrži upravljanje rizicima</w:t>
            </w:r>
          </w:p>
          <w:p w:rsidR="003D2DB0" w:rsidRDefault="003D2DB0"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Izrađeni prijedlozi kapitalnih ulaganja sa obrazloženim i kvantifikovanim rizicima i prijedlozima mjera za ublažavanje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lastRenderedPageBreak/>
              <w:t xml:space="preserve">Q4 2023 </w:t>
            </w:r>
          </w:p>
          <w:p w:rsidR="003F7868" w:rsidRPr="00150B11" w:rsidRDefault="003F7868" w:rsidP="003F7868">
            <w:pPr>
              <w:rPr>
                <w:rFonts w:ascii="Arial" w:hAnsi="Arial" w:cs="Arial"/>
                <w:sz w:val="20"/>
                <w:szCs w:val="20"/>
              </w:rPr>
            </w:pP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Budžet FBiH, u okviru sredstava </w:t>
            </w:r>
            <w:r w:rsidRPr="00150B11">
              <w:rPr>
                <w:rFonts w:ascii="Arial" w:hAnsi="Arial" w:cs="Arial"/>
                <w:sz w:val="20"/>
                <w:szCs w:val="20"/>
              </w:rPr>
              <w:lastRenderedPageBreak/>
              <w:t>organizacija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lastRenderedPageBreak/>
              <w:t>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FMF Sektor za dug (u segmentu izrade instrukcije o </w:t>
            </w:r>
            <w:r w:rsidRPr="00150B11">
              <w:rPr>
                <w:rFonts w:ascii="Arial" w:hAnsi="Arial" w:cs="Arial"/>
                <w:sz w:val="20"/>
                <w:szCs w:val="20"/>
              </w:rPr>
              <w:lastRenderedPageBreak/>
              <w:t xml:space="preserve">upravljanju kapitalnim projektima) </w:t>
            </w:r>
          </w:p>
        </w:tc>
      </w:tr>
      <w:tr w:rsidR="003F7868" w:rsidRPr="00150B11" w:rsidTr="00256E54">
        <w:trPr>
          <w:trHeight w:val="1142"/>
        </w:trPr>
        <w:tc>
          <w:tcPr>
            <w:tcW w:w="1794"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lastRenderedPageBreak/>
              <w:t>1.3 Interne kontrole usmjerene na rizike vezane za efikasnost poslovnih procesa organizacija javnog sektora</w:t>
            </w:r>
          </w:p>
        </w:tc>
        <w:tc>
          <w:tcPr>
            <w:tcW w:w="1609"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Brže, dostupnije i transparentnije javne usluge i povećano zadovoljstvo korisnika</w:t>
            </w: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1.3.1. Procjena rizika u odnosu na efikasnost poslovnih procesa u smislu odnosa cijene, brzine i dostupnosti usluga i kvaliteta izlaznih rezultata</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Registri rizika obuhvataju i efikasnost poslovnih procesa i kvalitet izlaznih rezultata </w:t>
            </w: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Q4 2025</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i ostala javna sredstva u okviru sredstava organizacija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Organizacije javnog sektora</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r>
      <w:tr w:rsidR="003F7868" w:rsidRPr="00150B11" w:rsidTr="00256E54">
        <w:trPr>
          <w:trHeight w:val="1142"/>
        </w:trPr>
        <w:tc>
          <w:tcPr>
            <w:tcW w:w="1794" w:type="dxa"/>
            <w:vMerge/>
          </w:tcPr>
          <w:p w:rsidR="003F7868" w:rsidRPr="00150B11" w:rsidRDefault="003F7868" w:rsidP="003F7868">
            <w:pPr>
              <w:rPr>
                <w:rFonts w:ascii="Arial" w:hAnsi="Arial" w:cs="Arial"/>
                <w:sz w:val="20"/>
                <w:szCs w:val="20"/>
              </w:rPr>
            </w:pPr>
          </w:p>
        </w:tc>
        <w:tc>
          <w:tcPr>
            <w:tcW w:w="1609"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1.3.2. Standardizacija procedura i optimizacija poslovnih procesa za pružanje usluga – analiza troškova, ukidanje nepotrebnih ili duplih koraka</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w:t>
            </w:r>
            <w:r w:rsidR="003D2DB0">
              <w:rPr>
                <w:rFonts w:ascii="Arial" w:hAnsi="Arial" w:cs="Arial"/>
                <w:sz w:val="20"/>
                <w:szCs w:val="20"/>
              </w:rPr>
              <w:t>organizacij</w:t>
            </w:r>
            <w:r w:rsidR="00BD27DD">
              <w:rPr>
                <w:rFonts w:ascii="Arial" w:hAnsi="Arial" w:cs="Arial"/>
                <w:sz w:val="20"/>
                <w:szCs w:val="20"/>
              </w:rPr>
              <w:t>a</w:t>
            </w:r>
            <w:r w:rsidR="003D2DB0">
              <w:rPr>
                <w:rFonts w:ascii="Arial" w:hAnsi="Arial" w:cs="Arial"/>
                <w:sz w:val="20"/>
                <w:szCs w:val="20"/>
              </w:rPr>
              <w:t xml:space="preserve"> koje su </w:t>
            </w:r>
            <w:r w:rsidRPr="00150B11">
              <w:rPr>
                <w:rFonts w:ascii="Arial" w:hAnsi="Arial" w:cs="Arial"/>
                <w:sz w:val="20"/>
                <w:szCs w:val="20"/>
              </w:rPr>
              <w:t>pojednostav</w:t>
            </w:r>
            <w:r w:rsidR="003D2DB0">
              <w:rPr>
                <w:rFonts w:ascii="Arial" w:hAnsi="Arial" w:cs="Arial"/>
                <w:sz w:val="20"/>
                <w:szCs w:val="20"/>
              </w:rPr>
              <w:t xml:space="preserve">ile postupke </w:t>
            </w:r>
            <w:r w:rsidRPr="00150B11">
              <w:rPr>
                <w:rFonts w:ascii="Arial" w:hAnsi="Arial" w:cs="Arial"/>
                <w:sz w:val="20"/>
                <w:szCs w:val="20"/>
              </w:rPr>
              <w:t>u realizaciji usluga za pore</w:t>
            </w:r>
            <w:r w:rsidR="004C5840">
              <w:rPr>
                <w:rFonts w:ascii="Arial" w:hAnsi="Arial" w:cs="Arial"/>
                <w:sz w:val="20"/>
                <w:szCs w:val="20"/>
              </w:rPr>
              <w:t>zn</w:t>
            </w:r>
            <w:r w:rsidRPr="00150B11">
              <w:rPr>
                <w:rFonts w:ascii="Arial" w:hAnsi="Arial" w:cs="Arial"/>
                <w:sz w:val="20"/>
                <w:szCs w:val="20"/>
              </w:rPr>
              <w:t xml:space="preserve">e obveznike – građane i privredne subjekte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Broj organizacija koje su uspostavile sistem upravljanja kvalitetom </w:t>
            </w: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Kontinuirano do Q4 2027</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i ostala javna sredstva u okviru sredstava organizacija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Organizacije javnog sektora</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r>
      <w:tr w:rsidR="003F7868" w:rsidRPr="00150B11" w:rsidTr="00256E54">
        <w:trPr>
          <w:trHeight w:val="1142"/>
        </w:trPr>
        <w:tc>
          <w:tcPr>
            <w:tcW w:w="1794" w:type="dxa"/>
            <w:vMerge/>
          </w:tcPr>
          <w:p w:rsidR="003F7868" w:rsidRPr="00150B11" w:rsidRDefault="003F7868" w:rsidP="003F7868">
            <w:pPr>
              <w:rPr>
                <w:rFonts w:ascii="Arial" w:hAnsi="Arial" w:cs="Arial"/>
                <w:sz w:val="20"/>
                <w:szCs w:val="20"/>
              </w:rPr>
            </w:pPr>
          </w:p>
        </w:tc>
        <w:tc>
          <w:tcPr>
            <w:tcW w:w="1609"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1.3.3. Razvijati aplikativne kontrole u softverskim rješenjima budžetskih korisnika kao podršku digitalizacije poslovanja i razvoju e-uprave</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aplikativnih kontrola koje su prethodno vršene manualno, npr. broj ukinutih papirnatih obrazaca </w:t>
            </w: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Kontinuirano do Q4 2027</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Sredstva iz projekata tehničke pomoći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organizacija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PARCO BiH</w:t>
            </w:r>
          </w:p>
          <w:p w:rsidR="003F7868" w:rsidRPr="00150B11" w:rsidRDefault="003F7868" w:rsidP="003F7868">
            <w:pPr>
              <w:rPr>
                <w:rFonts w:ascii="Arial" w:hAnsi="Arial" w:cs="Arial"/>
                <w:sz w:val="20"/>
                <w:szCs w:val="20"/>
              </w:rPr>
            </w:pPr>
            <w:r w:rsidRPr="00150B11">
              <w:rPr>
                <w:rFonts w:ascii="Arial" w:hAnsi="Arial" w:cs="Arial"/>
                <w:sz w:val="20"/>
                <w:szCs w:val="20"/>
              </w:rPr>
              <w:t>Vlada FBiH</w:t>
            </w:r>
          </w:p>
          <w:p w:rsidR="003F7868" w:rsidRPr="00150B11" w:rsidRDefault="003F7868" w:rsidP="003F7868">
            <w:pPr>
              <w:rPr>
                <w:rFonts w:ascii="Arial" w:hAnsi="Arial" w:cs="Arial"/>
                <w:sz w:val="20"/>
                <w:szCs w:val="20"/>
              </w:rPr>
            </w:pPr>
            <w:r w:rsidRPr="00150B11">
              <w:rPr>
                <w:rFonts w:ascii="Arial" w:hAnsi="Arial" w:cs="Arial"/>
                <w:sz w:val="20"/>
                <w:szCs w:val="20"/>
              </w:rPr>
              <w:t>Organizacije javnog sektora</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Projekti tehničke pomoći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Uslovljeno napretkom u PAR, stub 5 Pružanje usluga]</w:t>
            </w:r>
          </w:p>
        </w:tc>
      </w:tr>
      <w:tr w:rsidR="003F7868" w:rsidRPr="00150B11" w:rsidTr="00256E54">
        <w:trPr>
          <w:trHeight w:val="976"/>
        </w:trPr>
        <w:tc>
          <w:tcPr>
            <w:tcW w:w="1794" w:type="dxa"/>
            <w:vMerge w:val="restart"/>
            <w:vAlign w:val="center"/>
          </w:tcPr>
          <w:p w:rsidR="003F7868" w:rsidRPr="00150B11" w:rsidRDefault="003F7868" w:rsidP="004C5840">
            <w:pPr>
              <w:rPr>
                <w:rFonts w:ascii="Arial" w:hAnsi="Arial" w:cs="Arial"/>
                <w:sz w:val="20"/>
                <w:szCs w:val="20"/>
              </w:rPr>
            </w:pPr>
            <w:r w:rsidRPr="00150B11">
              <w:rPr>
                <w:rFonts w:ascii="Arial" w:hAnsi="Arial" w:cs="Arial"/>
                <w:sz w:val="20"/>
                <w:szCs w:val="20"/>
              </w:rPr>
              <w:t xml:space="preserve">1.4 </w:t>
            </w:r>
            <w:r w:rsidR="004C5840">
              <w:rPr>
                <w:rFonts w:ascii="Arial" w:hAnsi="Arial" w:cs="Arial"/>
                <w:sz w:val="20"/>
                <w:szCs w:val="20"/>
              </w:rPr>
              <w:t>Po</w:t>
            </w:r>
            <w:r w:rsidRPr="00150B11">
              <w:rPr>
                <w:rFonts w:ascii="Arial" w:hAnsi="Arial" w:cs="Arial"/>
                <w:sz w:val="20"/>
                <w:szCs w:val="20"/>
              </w:rPr>
              <w:t>jačana je upravljačka odgovornost za ciljeve i rezultate</w:t>
            </w:r>
          </w:p>
        </w:tc>
        <w:tc>
          <w:tcPr>
            <w:tcW w:w="1609"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Rukovodioci na svim nivoima upravljanja imaju zaduženja, resurse i neophodni stepen autonomije u ostvarivanju ciljeva organizacije </w:t>
            </w: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1.4.1. Izraditi Smjernice za upravljačku odgovornost u javnom sektoru u Federaciji BiH</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Objavljene Smjernice za upravljačku odgovornost u javnom sektoru u</w:t>
            </w:r>
            <w:r w:rsidR="00150B11">
              <w:rPr>
                <w:rFonts w:ascii="Arial" w:hAnsi="Arial" w:cs="Arial"/>
                <w:sz w:val="20"/>
                <w:szCs w:val="20"/>
              </w:rPr>
              <w:t xml:space="preserve"> </w:t>
            </w:r>
            <w:r w:rsidRPr="00150B11">
              <w:rPr>
                <w:rFonts w:ascii="Arial" w:hAnsi="Arial" w:cs="Arial"/>
                <w:sz w:val="20"/>
                <w:szCs w:val="20"/>
              </w:rPr>
              <w:t>Federaciji BiH</w:t>
            </w: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w:t>
            </w:r>
            <w:r w:rsidR="003D2DB0">
              <w:rPr>
                <w:rFonts w:ascii="Arial" w:hAnsi="Arial" w:cs="Arial"/>
                <w:sz w:val="20"/>
                <w:szCs w:val="20"/>
              </w:rPr>
              <w:t>2</w:t>
            </w:r>
            <w:r w:rsidRPr="00150B11">
              <w:rPr>
                <w:rFonts w:ascii="Arial" w:hAnsi="Arial" w:cs="Arial"/>
                <w:sz w:val="20"/>
                <w:szCs w:val="20"/>
              </w:rPr>
              <w:t xml:space="preserve"> 2021</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 (ekspertiza)</w:t>
            </w:r>
          </w:p>
          <w:p w:rsidR="003F7868" w:rsidRPr="00150B11" w:rsidRDefault="003F7868" w:rsidP="003F7868">
            <w:pPr>
              <w:rPr>
                <w:rFonts w:ascii="Arial" w:hAnsi="Arial" w:cs="Arial"/>
                <w:sz w:val="20"/>
                <w:szCs w:val="20"/>
              </w:rPr>
            </w:pPr>
            <w:r w:rsidRPr="00150B11">
              <w:rPr>
                <w:rFonts w:ascii="Arial" w:hAnsi="Arial" w:cs="Arial"/>
                <w:sz w:val="20"/>
                <w:szCs w:val="20"/>
              </w:rPr>
              <w:t>Organizacije javnog sektora</w:t>
            </w:r>
          </w:p>
        </w:tc>
      </w:tr>
      <w:tr w:rsidR="003F7868" w:rsidRPr="00150B11" w:rsidTr="00256E54">
        <w:trPr>
          <w:trHeight w:val="825"/>
        </w:trPr>
        <w:tc>
          <w:tcPr>
            <w:tcW w:w="1794" w:type="dxa"/>
            <w:vMerge/>
            <w:vAlign w:val="center"/>
          </w:tcPr>
          <w:p w:rsidR="003F7868" w:rsidRPr="00150B11" w:rsidRDefault="003F7868" w:rsidP="003F7868">
            <w:pPr>
              <w:rPr>
                <w:rFonts w:ascii="Arial" w:hAnsi="Arial" w:cs="Arial"/>
                <w:sz w:val="20"/>
                <w:szCs w:val="20"/>
              </w:rPr>
            </w:pPr>
          </w:p>
        </w:tc>
        <w:tc>
          <w:tcPr>
            <w:tcW w:w="1609" w:type="dxa"/>
            <w:vMerge/>
            <w:shd w:val="clear" w:color="auto" w:fill="auto"/>
            <w:vAlign w:val="center"/>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1.4.2. Analizirati pravne i organizacione pretpostavke, uključenost, uloge i zadatke rukovodilaca i predložiti mjere za primjenu upravljačke odgovornosti </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Izrađena analiza</w:t>
            </w:r>
            <w:r w:rsidRPr="00150B11">
              <w:rPr>
                <w:rFonts w:ascii="Arial" w:hAnsi="Arial" w:cs="Arial"/>
                <w:sz w:val="20"/>
                <w:szCs w:val="20"/>
              </w:rPr>
              <w:br/>
            </w:r>
          </w:p>
          <w:p w:rsidR="003F7868" w:rsidRPr="00150B11" w:rsidRDefault="003F7868" w:rsidP="003F7868">
            <w:pPr>
              <w:rPr>
                <w:rFonts w:ascii="Arial" w:hAnsi="Arial" w:cs="Arial"/>
                <w:sz w:val="20"/>
                <w:szCs w:val="20"/>
              </w:rPr>
            </w:pPr>
            <w:r w:rsidRPr="00150B11">
              <w:rPr>
                <w:rFonts w:ascii="Arial" w:hAnsi="Arial" w:cs="Arial"/>
                <w:sz w:val="20"/>
                <w:szCs w:val="20"/>
              </w:rPr>
              <w:t>Podaci iz konsolidovanog GI i prijedlog sistemskih mjera za Vladu FBiH uz KI FUK</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Q2 2022</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Vlada FBiH</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Projekti tehničke pomoći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1544"/>
        </w:trPr>
        <w:tc>
          <w:tcPr>
            <w:tcW w:w="1794" w:type="dxa"/>
            <w:vMerge/>
          </w:tcPr>
          <w:p w:rsidR="003F7868" w:rsidRPr="00150B11" w:rsidRDefault="003F7868" w:rsidP="003F7868">
            <w:pPr>
              <w:rPr>
                <w:rFonts w:ascii="Arial" w:hAnsi="Arial" w:cs="Arial"/>
                <w:sz w:val="20"/>
                <w:szCs w:val="20"/>
              </w:rPr>
            </w:pPr>
          </w:p>
        </w:tc>
        <w:tc>
          <w:tcPr>
            <w:tcW w:w="1609"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1.4.3. Analizirati organizacioni status, kapacitete, uloge i zadatke jedinica za finansije i predložiti mjere za jačanje  koordinacijske uloge u razvoju FUK</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Izrađena analiza</w:t>
            </w:r>
            <w:r w:rsidRPr="00150B11">
              <w:rPr>
                <w:rFonts w:ascii="Arial" w:hAnsi="Arial" w:cs="Arial"/>
                <w:sz w:val="20"/>
                <w:szCs w:val="20"/>
              </w:rPr>
              <w:br/>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Podaci iz konsolidovanog GI i prijedlog sistemskih mjera za Vladu FBiH </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Q2 2022</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 (ekspertiza)</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Organizacije javnog sektora </w:t>
            </w:r>
          </w:p>
        </w:tc>
      </w:tr>
      <w:tr w:rsidR="003F7868" w:rsidRPr="00150B11" w:rsidTr="00256E54">
        <w:trPr>
          <w:trHeight w:val="1752"/>
        </w:trPr>
        <w:tc>
          <w:tcPr>
            <w:tcW w:w="1794" w:type="dxa"/>
            <w:vMerge/>
          </w:tcPr>
          <w:p w:rsidR="003F7868" w:rsidRPr="00150B11" w:rsidRDefault="003F7868" w:rsidP="003F7868">
            <w:pPr>
              <w:rPr>
                <w:rFonts w:ascii="Arial" w:hAnsi="Arial" w:cs="Arial"/>
                <w:sz w:val="20"/>
                <w:szCs w:val="20"/>
              </w:rPr>
            </w:pPr>
          </w:p>
        </w:tc>
        <w:tc>
          <w:tcPr>
            <w:tcW w:w="1609"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1.4.4. Izraditi uputstvo o saradnji rukovodilaca unutrašnjih organizacionih jedinica i organizacione jedinice za finansije, međusobnim obavezama i odgovornostima u procesima iz budžetskog ciklusa</w:t>
            </w:r>
          </w:p>
        </w:tc>
        <w:tc>
          <w:tcPr>
            <w:tcW w:w="2409"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Sačinjeno uputstvo o saradnji</w:t>
            </w: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Q2 2021</w:t>
            </w:r>
          </w:p>
        </w:tc>
        <w:tc>
          <w:tcPr>
            <w:tcW w:w="198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41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 (ekspertiza)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Budžetski korisnici </w:t>
            </w:r>
          </w:p>
          <w:p w:rsidR="003F7868" w:rsidRPr="00150B11" w:rsidRDefault="003F7868" w:rsidP="003F7868">
            <w:pPr>
              <w:rPr>
                <w:rFonts w:ascii="Arial" w:hAnsi="Arial" w:cs="Arial"/>
                <w:sz w:val="20"/>
                <w:szCs w:val="20"/>
              </w:rPr>
            </w:pPr>
          </w:p>
        </w:tc>
      </w:tr>
      <w:tr w:rsidR="003F7868" w:rsidRPr="00150B11" w:rsidTr="00256E54">
        <w:trPr>
          <w:trHeight w:val="771"/>
        </w:trPr>
        <w:tc>
          <w:tcPr>
            <w:tcW w:w="1794" w:type="dxa"/>
            <w:vMerge w:val="restart"/>
          </w:tcPr>
          <w:p w:rsidR="003F7868" w:rsidRPr="00150B11" w:rsidRDefault="003F7868" w:rsidP="003F7868">
            <w:pPr>
              <w:rPr>
                <w:rFonts w:ascii="Arial" w:hAnsi="Arial" w:cs="Arial"/>
                <w:sz w:val="20"/>
                <w:szCs w:val="20"/>
              </w:rPr>
            </w:pPr>
            <w:r w:rsidRPr="00150B11">
              <w:rPr>
                <w:rFonts w:ascii="Arial" w:hAnsi="Arial" w:cs="Arial"/>
                <w:sz w:val="20"/>
                <w:szCs w:val="20"/>
              </w:rPr>
              <w:t xml:space="preserve"> 1.5  Unaprijeđeno je  upravljanje rizicima  javnih preduzeća</w:t>
            </w:r>
          </w:p>
        </w:tc>
        <w:tc>
          <w:tcPr>
            <w:tcW w:w="1609" w:type="dxa"/>
            <w:vMerge w:val="restart"/>
          </w:tcPr>
          <w:p w:rsidR="003F7868" w:rsidRPr="00150B11" w:rsidRDefault="003F7868" w:rsidP="003F7868">
            <w:pPr>
              <w:rPr>
                <w:rFonts w:ascii="Arial" w:hAnsi="Arial" w:cs="Arial"/>
                <w:sz w:val="20"/>
                <w:szCs w:val="20"/>
              </w:rPr>
            </w:pPr>
            <w:r w:rsidRPr="00150B11">
              <w:rPr>
                <w:rFonts w:ascii="Arial" w:hAnsi="Arial" w:cs="Arial"/>
                <w:sz w:val="20"/>
                <w:szCs w:val="20"/>
              </w:rPr>
              <w:t>Blagovremene i tačne informacije o pokazateljima finansijske uspješnosti</w:t>
            </w: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1.5.1. Priprema posebnih pitanja za javna preduzeća u okviru upitnika za samoprocjenu FUK </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Kvalitetnije informacije o rizicima i mjerama njihovog ublažavanja za javna preduzeća koje se mogu koristiti kod pripreme  budžeta, procjena javnog duga, kreditnih zaduženja i sl.</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Q3 2021</w:t>
            </w:r>
          </w:p>
        </w:tc>
        <w:tc>
          <w:tcPr>
            <w:tcW w:w="1984" w:type="dxa"/>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Sredstva iz Projekta tehničke pomoći</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Projekat tehničke pomoći (PIFC)</w:t>
            </w:r>
          </w:p>
          <w:p w:rsidR="003F7868" w:rsidRPr="00150B11" w:rsidRDefault="003F7868" w:rsidP="003F7868">
            <w:pPr>
              <w:rPr>
                <w:rFonts w:ascii="Arial" w:hAnsi="Arial" w:cs="Arial"/>
                <w:sz w:val="20"/>
                <w:szCs w:val="20"/>
              </w:rPr>
            </w:pPr>
            <w:r w:rsidRPr="00150B11">
              <w:rPr>
                <w:rFonts w:ascii="Arial" w:hAnsi="Arial" w:cs="Arial"/>
                <w:sz w:val="20"/>
                <w:szCs w:val="20"/>
              </w:rPr>
              <w:t>Drugi sektori u FMF, FMERI</w:t>
            </w:r>
          </w:p>
        </w:tc>
      </w:tr>
      <w:tr w:rsidR="003F7868" w:rsidRPr="00150B11" w:rsidTr="00256E54">
        <w:trPr>
          <w:trHeight w:val="1366"/>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1.5.2. Izrada ključnih pokazatelja uspješnosti za praćenje fiskalnih rizika koji proizlaze iz javnih preduzeća</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Kvalitetnije informacije o rizicima i mjerama njihovog ublažavanja za javna preduzeća koje se mogu koristiti kod pripreme  budžeta, procjena javnog duga, kreditnih zaduženja i sl.</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Q3  2021</w:t>
            </w:r>
          </w:p>
          <w:p w:rsidR="003F7868" w:rsidRPr="00150B11" w:rsidRDefault="003F7868" w:rsidP="003F7868">
            <w:pPr>
              <w:rPr>
                <w:rFonts w:ascii="Arial" w:hAnsi="Arial" w:cs="Arial"/>
                <w:sz w:val="20"/>
                <w:szCs w:val="20"/>
              </w:rPr>
            </w:pPr>
          </w:p>
        </w:tc>
        <w:tc>
          <w:tcPr>
            <w:tcW w:w="1984" w:type="dxa"/>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Sredstva iz Projekta tehničke pomoći</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FMF</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Projekat tehničke pomoći (PIFC), FMERI, Ured Premijera Vlade FBiH</w:t>
            </w:r>
          </w:p>
        </w:tc>
      </w:tr>
      <w:tr w:rsidR="003F7868" w:rsidRPr="00150B11" w:rsidTr="00256E54">
        <w:trPr>
          <w:trHeight w:val="400"/>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1.5.3. Integracija upitnika za FUK i ključnih pokazatelja uspješnosti javnih preduzeća u softver za izvještavanje o FUK </w:t>
            </w:r>
          </w:p>
        </w:tc>
        <w:tc>
          <w:tcPr>
            <w:tcW w:w="2409"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Softver za izvještavanje o FUK koji uključuje upitnik za javna preduzeća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Q3 2021</w:t>
            </w:r>
          </w:p>
          <w:p w:rsidR="003F7868" w:rsidRPr="00150B11" w:rsidRDefault="003F7868" w:rsidP="003F7868">
            <w:pPr>
              <w:rPr>
                <w:rFonts w:ascii="Arial" w:hAnsi="Arial" w:cs="Arial"/>
                <w:sz w:val="20"/>
                <w:szCs w:val="20"/>
              </w:rPr>
            </w:pP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Sredstva iz Projekta tehničke pomoći</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Projekat tehničke pomoći (PIFC)</w:t>
            </w:r>
          </w:p>
          <w:p w:rsidR="003F7868" w:rsidRPr="00150B11" w:rsidRDefault="003F7868" w:rsidP="003F7868">
            <w:pPr>
              <w:rPr>
                <w:rFonts w:ascii="Arial" w:hAnsi="Arial" w:cs="Arial"/>
                <w:sz w:val="20"/>
                <w:szCs w:val="20"/>
              </w:rPr>
            </w:pPr>
            <w:r w:rsidRPr="00150B11">
              <w:rPr>
                <w:rFonts w:ascii="Arial" w:hAnsi="Arial" w:cs="Arial"/>
                <w:sz w:val="20"/>
                <w:szCs w:val="20"/>
              </w:rPr>
              <w:t>FMF, FMERI</w:t>
            </w:r>
          </w:p>
        </w:tc>
      </w:tr>
      <w:tr w:rsidR="003F7868" w:rsidRPr="00150B11" w:rsidTr="00256E54">
        <w:trPr>
          <w:trHeight w:val="771"/>
        </w:trPr>
        <w:tc>
          <w:tcPr>
            <w:tcW w:w="1794" w:type="dxa"/>
            <w:vMerge/>
          </w:tcPr>
          <w:p w:rsidR="003F7868" w:rsidRPr="00150B11" w:rsidRDefault="003F7868" w:rsidP="003F7868">
            <w:pPr>
              <w:rPr>
                <w:rFonts w:ascii="Arial" w:hAnsi="Arial" w:cs="Arial"/>
                <w:sz w:val="20"/>
                <w:szCs w:val="20"/>
              </w:rPr>
            </w:pPr>
          </w:p>
        </w:tc>
        <w:tc>
          <w:tcPr>
            <w:tcW w:w="1609" w:type="dxa"/>
            <w:vMerge/>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1.5.4. Obuka za pilot javna preduzeća u oblasti upravljanja rizicima </w:t>
            </w:r>
          </w:p>
        </w:tc>
        <w:tc>
          <w:tcPr>
            <w:tcW w:w="2409" w:type="dxa"/>
          </w:tcPr>
          <w:p w:rsidR="003F7868" w:rsidRPr="00150B11" w:rsidRDefault="003D2DB0" w:rsidP="003F7868">
            <w:pPr>
              <w:rPr>
                <w:rFonts w:ascii="Arial" w:hAnsi="Arial" w:cs="Arial"/>
                <w:sz w:val="20"/>
                <w:szCs w:val="20"/>
              </w:rPr>
            </w:pPr>
            <w:r>
              <w:rPr>
                <w:rFonts w:ascii="Arial" w:hAnsi="Arial" w:cs="Arial"/>
                <w:sz w:val="20"/>
                <w:szCs w:val="20"/>
              </w:rPr>
              <w:t>O</w:t>
            </w:r>
            <w:r w:rsidR="003F7868" w:rsidRPr="00150B11">
              <w:rPr>
                <w:rFonts w:ascii="Arial" w:hAnsi="Arial" w:cs="Arial"/>
                <w:sz w:val="20"/>
                <w:szCs w:val="20"/>
              </w:rPr>
              <w:t xml:space="preserve">jačani kapaciteti u javnim preduzećima (broj obučenih zaposlenika) </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 Q3 2021</w:t>
            </w:r>
          </w:p>
        </w:tc>
        <w:tc>
          <w:tcPr>
            <w:tcW w:w="1984" w:type="dxa"/>
          </w:tcPr>
          <w:p w:rsidR="003F7868" w:rsidRPr="00150B11" w:rsidRDefault="003F7868" w:rsidP="003F7868">
            <w:pPr>
              <w:rPr>
                <w:rFonts w:ascii="Arial" w:hAnsi="Arial" w:cs="Arial"/>
                <w:sz w:val="20"/>
                <w:szCs w:val="20"/>
              </w:rPr>
            </w:pPr>
            <w:r w:rsidRPr="00150B11">
              <w:rPr>
                <w:rFonts w:ascii="Arial" w:hAnsi="Arial" w:cs="Arial"/>
                <w:sz w:val="20"/>
                <w:szCs w:val="20"/>
              </w:rPr>
              <w:t>N/A</w:t>
            </w:r>
          </w:p>
        </w:tc>
        <w:tc>
          <w:tcPr>
            <w:tcW w:w="141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w:t>
            </w:r>
          </w:p>
        </w:tc>
        <w:tc>
          <w:tcPr>
            <w:tcW w:w="1985" w:type="dxa"/>
          </w:tcPr>
          <w:p w:rsidR="003F7868" w:rsidRPr="00150B11" w:rsidRDefault="003F7868" w:rsidP="003F7868">
            <w:pPr>
              <w:rPr>
                <w:rFonts w:ascii="Arial" w:hAnsi="Arial" w:cs="Arial"/>
                <w:sz w:val="20"/>
                <w:szCs w:val="20"/>
              </w:rPr>
            </w:pPr>
            <w:r w:rsidRPr="00150B11">
              <w:rPr>
                <w:rFonts w:ascii="Arial" w:hAnsi="Arial" w:cs="Arial"/>
                <w:sz w:val="20"/>
                <w:szCs w:val="20"/>
              </w:rPr>
              <w:t>Projekat tehničke pomoći (PIFC)</w:t>
            </w:r>
          </w:p>
          <w:p w:rsidR="003F7868" w:rsidRPr="00150B11" w:rsidRDefault="003F7868" w:rsidP="003F7868">
            <w:pPr>
              <w:rPr>
                <w:rFonts w:ascii="Arial" w:hAnsi="Arial" w:cs="Arial"/>
                <w:sz w:val="20"/>
                <w:szCs w:val="20"/>
              </w:rPr>
            </w:pPr>
          </w:p>
        </w:tc>
      </w:tr>
    </w:tbl>
    <w:p w:rsidR="00256E54" w:rsidRDefault="00256E54" w:rsidP="003F7868">
      <w:pPr>
        <w:rPr>
          <w:rFonts w:ascii="Arial" w:hAnsi="Arial" w:cs="Arial"/>
          <w:sz w:val="20"/>
          <w:szCs w:val="20"/>
        </w:rPr>
      </w:pPr>
    </w:p>
    <w:p w:rsidR="00256E54" w:rsidRDefault="00256E54">
      <w:pPr>
        <w:rPr>
          <w:rFonts w:ascii="Arial" w:hAnsi="Arial" w:cs="Arial"/>
          <w:sz w:val="20"/>
          <w:szCs w:val="20"/>
        </w:rPr>
      </w:pPr>
      <w:r>
        <w:rPr>
          <w:rFonts w:ascii="Arial" w:hAnsi="Arial" w:cs="Arial"/>
          <w:sz w:val="20"/>
          <w:szCs w:val="20"/>
        </w:rPr>
        <w:br w:type="page"/>
      </w:r>
    </w:p>
    <w:p w:rsidR="003F7868" w:rsidRPr="00150B11" w:rsidRDefault="003F7868" w:rsidP="003F7868">
      <w:pPr>
        <w:rPr>
          <w:rFonts w:ascii="Arial" w:hAnsi="Arial" w:cs="Arial"/>
          <w:sz w:val="20"/>
          <w:szCs w:val="20"/>
        </w:rPr>
      </w:pPr>
    </w:p>
    <w:tbl>
      <w:tblPr>
        <w:tblStyle w:val="TableGrid"/>
        <w:tblW w:w="14844" w:type="dxa"/>
        <w:tblInd w:w="-431" w:type="dxa"/>
        <w:tblLayout w:type="fixed"/>
        <w:tblLook w:val="04A0" w:firstRow="1" w:lastRow="0" w:firstColumn="1" w:lastColumn="0" w:noHBand="0" w:noVBand="1"/>
      </w:tblPr>
      <w:tblGrid>
        <w:gridCol w:w="1734"/>
        <w:gridCol w:w="1770"/>
        <w:gridCol w:w="2126"/>
        <w:gridCol w:w="2410"/>
        <w:gridCol w:w="1417"/>
        <w:gridCol w:w="1985"/>
        <w:gridCol w:w="1417"/>
        <w:gridCol w:w="1985"/>
      </w:tblGrid>
      <w:tr w:rsidR="003F7868" w:rsidRPr="00150B11" w:rsidTr="00256E54">
        <w:trPr>
          <w:trHeight w:val="425"/>
        </w:trPr>
        <w:tc>
          <w:tcPr>
            <w:tcW w:w="14844" w:type="dxa"/>
            <w:gridSpan w:val="8"/>
            <w:shd w:val="clear" w:color="auto" w:fill="BDD6EE" w:themeFill="accent1" w:themeFillTint="66"/>
            <w:vAlign w:val="center"/>
          </w:tcPr>
          <w:p w:rsidR="003F7868" w:rsidRPr="00150B11" w:rsidRDefault="003F7868" w:rsidP="00256E54">
            <w:pPr>
              <w:rPr>
                <w:rFonts w:ascii="Arial" w:hAnsi="Arial" w:cs="Arial"/>
                <w:b/>
                <w:sz w:val="20"/>
                <w:szCs w:val="20"/>
              </w:rPr>
            </w:pPr>
            <w:r w:rsidRPr="00150B11">
              <w:rPr>
                <w:rFonts w:ascii="Arial" w:hAnsi="Arial" w:cs="Arial"/>
                <w:b/>
                <w:sz w:val="20"/>
                <w:szCs w:val="20"/>
              </w:rPr>
              <w:br w:type="page"/>
              <w:t>Oblast: 2. INTERNA REVIZIJA</w:t>
            </w:r>
          </w:p>
        </w:tc>
      </w:tr>
      <w:tr w:rsidR="003F7868" w:rsidRPr="00150B11" w:rsidTr="00256E54">
        <w:trPr>
          <w:trHeight w:val="417"/>
        </w:trPr>
        <w:tc>
          <w:tcPr>
            <w:tcW w:w="14844" w:type="dxa"/>
            <w:gridSpan w:val="8"/>
            <w:shd w:val="clear" w:color="auto" w:fill="BDD6EE" w:themeFill="accent1" w:themeFillTint="66"/>
            <w:vAlign w:val="center"/>
          </w:tcPr>
          <w:p w:rsidR="003F7868" w:rsidRPr="00150B11" w:rsidRDefault="003F7868" w:rsidP="00256E54">
            <w:pPr>
              <w:rPr>
                <w:rFonts w:ascii="Arial" w:hAnsi="Arial" w:cs="Arial"/>
                <w:b/>
                <w:sz w:val="20"/>
                <w:szCs w:val="20"/>
              </w:rPr>
            </w:pPr>
            <w:r w:rsidRPr="00150B11">
              <w:rPr>
                <w:rFonts w:ascii="Arial" w:hAnsi="Arial" w:cs="Arial"/>
                <w:b/>
                <w:sz w:val="20"/>
                <w:szCs w:val="20"/>
              </w:rPr>
              <w:t xml:space="preserve">Strateški cilj: Unaprijeđena operativna funkcija interne revizije kojom se ostvaruje dodana vrijednost </w:t>
            </w:r>
          </w:p>
        </w:tc>
      </w:tr>
      <w:tr w:rsidR="003F7868" w:rsidRPr="00150B11" w:rsidTr="00256E54">
        <w:trPr>
          <w:trHeight w:val="579"/>
        </w:trPr>
        <w:tc>
          <w:tcPr>
            <w:tcW w:w="1734"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Prioritet</w:t>
            </w:r>
          </w:p>
        </w:tc>
        <w:tc>
          <w:tcPr>
            <w:tcW w:w="1770"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Rezultat</w:t>
            </w:r>
          </w:p>
        </w:tc>
        <w:tc>
          <w:tcPr>
            <w:tcW w:w="2126"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Mjera</w:t>
            </w:r>
          </w:p>
        </w:tc>
        <w:tc>
          <w:tcPr>
            <w:tcW w:w="2410"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Indikatori</w:t>
            </w:r>
          </w:p>
        </w:tc>
        <w:tc>
          <w:tcPr>
            <w:tcW w:w="1417"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Rok za realizaciju aktivnosti</w:t>
            </w:r>
          </w:p>
        </w:tc>
        <w:tc>
          <w:tcPr>
            <w:tcW w:w="1985" w:type="dxa"/>
            <w:shd w:val="clear" w:color="auto" w:fill="BDD6EE" w:themeFill="accent1" w:themeFillTint="66"/>
            <w:vAlign w:val="center"/>
          </w:tcPr>
          <w:p w:rsidR="003F7868" w:rsidRPr="00256E54" w:rsidRDefault="00E17F92" w:rsidP="00256E54">
            <w:pPr>
              <w:jc w:val="center"/>
              <w:rPr>
                <w:rFonts w:ascii="Arial" w:hAnsi="Arial" w:cs="Arial"/>
                <w:b/>
                <w:sz w:val="20"/>
                <w:szCs w:val="20"/>
              </w:rPr>
            </w:pPr>
            <w:r>
              <w:rPr>
                <w:rFonts w:ascii="Arial" w:hAnsi="Arial" w:cs="Arial"/>
                <w:b/>
                <w:sz w:val="20"/>
                <w:szCs w:val="20"/>
              </w:rPr>
              <w:t>I</w:t>
            </w:r>
            <w:r w:rsidRPr="00256E54">
              <w:rPr>
                <w:rFonts w:ascii="Arial" w:hAnsi="Arial" w:cs="Arial"/>
                <w:b/>
                <w:sz w:val="20"/>
                <w:szCs w:val="20"/>
              </w:rPr>
              <w:t>zvori finansiranja</w:t>
            </w:r>
          </w:p>
        </w:tc>
        <w:tc>
          <w:tcPr>
            <w:tcW w:w="1417"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Odgovorne organizacije</w:t>
            </w:r>
          </w:p>
        </w:tc>
        <w:tc>
          <w:tcPr>
            <w:tcW w:w="1985"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Partnerske organizacije</w:t>
            </w:r>
          </w:p>
        </w:tc>
      </w:tr>
      <w:tr w:rsidR="003F7868" w:rsidRPr="00150B11" w:rsidTr="00256E54">
        <w:trPr>
          <w:trHeight w:val="1242"/>
        </w:trPr>
        <w:tc>
          <w:tcPr>
            <w:tcW w:w="1734"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2.1 Interna revizija  je uspostavljena u skladu sa važećim propisima i ispunjava međunarodne standarde za profesionalnu praksu interne revizije</w:t>
            </w:r>
          </w:p>
        </w:tc>
        <w:tc>
          <w:tcPr>
            <w:tcW w:w="1770"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Unaprijeđen kvalitet rada interne revizije u skladu sa metodologijom za IR</w:t>
            </w:r>
          </w:p>
        </w:tc>
        <w:tc>
          <w:tcPr>
            <w:tcW w:w="2126" w:type="dxa"/>
          </w:tcPr>
          <w:p w:rsidR="003F7868" w:rsidRPr="00150B11" w:rsidRDefault="003F7868" w:rsidP="003F7868">
            <w:pPr>
              <w:rPr>
                <w:rFonts w:ascii="Arial" w:hAnsi="Arial" w:cs="Arial"/>
                <w:sz w:val="20"/>
                <w:szCs w:val="20"/>
              </w:rPr>
            </w:pPr>
            <w:r w:rsidRPr="00150B11">
              <w:rPr>
                <w:rFonts w:ascii="Arial" w:hAnsi="Arial" w:cs="Arial"/>
                <w:sz w:val="20"/>
                <w:szCs w:val="20"/>
              </w:rPr>
              <w:t>2.1.1. Izrada nove  Metodologije rada interne revizije u javnom sektoru u FBiH u skladu sa međunarodnim standardima</w:t>
            </w:r>
          </w:p>
        </w:tc>
        <w:tc>
          <w:tcPr>
            <w:tcW w:w="2410" w:type="dxa"/>
          </w:tcPr>
          <w:p w:rsidR="003F7868" w:rsidRPr="00150B11" w:rsidRDefault="003F7868" w:rsidP="003F7868">
            <w:pPr>
              <w:rPr>
                <w:rFonts w:ascii="Arial" w:hAnsi="Arial" w:cs="Arial"/>
                <w:sz w:val="20"/>
                <w:szCs w:val="20"/>
              </w:rPr>
            </w:pPr>
            <w:r w:rsidRPr="00150B11">
              <w:rPr>
                <w:rFonts w:ascii="Arial" w:hAnsi="Arial" w:cs="Arial"/>
                <w:sz w:val="20"/>
                <w:szCs w:val="20"/>
              </w:rPr>
              <w:t>Izrađena nova Metodologija rada za internu reviziju u javnom sektoru u FBiH u skladu sa međunarodnim standardima i zahtjevima prakse</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Q2 2021</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 </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Projekat TA (ekspertiza)</w:t>
            </w:r>
          </w:p>
        </w:tc>
      </w:tr>
      <w:tr w:rsidR="003F7868" w:rsidRPr="00150B11" w:rsidTr="00256E54">
        <w:trPr>
          <w:trHeight w:val="435"/>
        </w:trPr>
        <w:tc>
          <w:tcPr>
            <w:tcW w:w="1734" w:type="dxa"/>
            <w:vMerge/>
            <w:vAlign w:val="center"/>
          </w:tcPr>
          <w:p w:rsidR="003F7868" w:rsidRPr="00150B11" w:rsidRDefault="003F7868" w:rsidP="003F7868">
            <w:pPr>
              <w:rPr>
                <w:rFonts w:ascii="Arial" w:hAnsi="Arial" w:cs="Arial"/>
                <w:sz w:val="20"/>
                <w:szCs w:val="20"/>
              </w:rPr>
            </w:pPr>
          </w:p>
        </w:tc>
        <w:tc>
          <w:tcPr>
            <w:tcW w:w="1770" w:type="dxa"/>
            <w:vMerge/>
            <w:shd w:val="clear" w:color="auto" w:fill="auto"/>
            <w:vAlign w:val="center"/>
          </w:tcPr>
          <w:p w:rsidR="003F7868" w:rsidRPr="00150B11" w:rsidRDefault="003F7868" w:rsidP="003F7868">
            <w:pPr>
              <w:rPr>
                <w:rFonts w:ascii="Arial" w:hAnsi="Arial" w:cs="Arial"/>
                <w:sz w:val="20"/>
                <w:szCs w:val="20"/>
              </w:rPr>
            </w:pPr>
          </w:p>
        </w:tc>
        <w:tc>
          <w:tcPr>
            <w:tcW w:w="2126" w:type="dxa"/>
          </w:tcPr>
          <w:p w:rsidR="003F7868" w:rsidRPr="00150B11" w:rsidRDefault="003F7868" w:rsidP="003F7868">
            <w:pPr>
              <w:rPr>
                <w:rFonts w:ascii="Arial" w:hAnsi="Arial" w:cs="Arial"/>
                <w:sz w:val="20"/>
                <w:szCs w:val="20"/>
              </w:rPr>
            </w:pPr>
            <w:r w:rsidRPr="00150B11">
              <w:rPr>
                <w:rFonts w:ascii="Arial" w:hAnsi="Arial" w:cs="Arial"/>
                <w:sz w:val="20"/>
                <w:szCs w:val="20"/>
              </w:rPr>
              <w:t>2.1.2. Izrada novog Priručnika za procjenu rizika i planiranje interne revizije u skladu sa međunarodnim standardima</w:t>
            </w:r>
          </w:p>
        </w:tc>
        <w:tc>
          <w:tcPr>
            <w:tcW w:w="2410" w:type="dxa"/>
          </w:tcPr>
          <w:p w:rsidR="003F7868" w:rsidRPr="00150B11" w:rsidRDefault="003F7868" w:rsidP="003F7868">
            <w:pPr>
              <w:rPr>
                <w:rFonts w:ascii="Arial" w:hAnsi="Arial" w:cs="Arial"/>
                <w:sz w:val="20"/>
                <w:szCs w:val="20"/>
              </w:rPr>
            </w:pPr>
            <w:r w:rsidRPr="00150B11">
              <w:rPr>
                <w:rFonts w:ascii="Arial" w:hAnsi="Arial" w:cs="Arial"/>
                <w:sz w:val="20"/>
                <w:szCs w:val="20"/>
              </w:rPr>
              <w:t>Izrađen novi Priručnik za procjenu rizika i planiranje interne revizije u javnom sektoru u FBiH u skladu sa međunarodnim standardima i zahtjevima prakse</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Q4 2021</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Projekat TA (ekspertiza)</w:t>
            </w:r>
          </w:p>
        </w:tc>
      </w:tr>
      <w:tr w:rsidR="003F7868" w:rsidRPr="00150B11" w:rsidTr="00256E54">
        <w:trPr>
          <w:trHeight w:val="623"/>
        </w:trPr>
        <w:tc>
          <w:tcPr>
            <w:tcW w:w="1734" w:type="dxa"/>
            <w:vMerge/>
            <w:vAlign w:val="center"/>
          </w:tcPr>
          <w:p w:rsidR="003F7868" w:rsidRPr="00150B11" w:rsidRDefault="003F7868" w:rsidP="003F7868">
            <w:pPr>
              <w:rPr>
                <w:rFonts w:ascii="Arial" w:hAnsi="Arial" w:cs="Arial"/>
                <w:sz w:val="20"/>
                <w:szCs w:val="20"/>
              </w:rPr>
            </w:pPr>
          </w:p>
        </w:tc>
        <w:tc>
          <w:tcPr>
            <w:tcW w:w="1770" w:type="dxa"/>
            <w:vMerge/>
            <w:shd w:val="clear" w:color="auto" w:fill="auto"/>
          </w:tcPr>
          <w:p w:rsidR="003F7868" w:rsidRPr="00150B11" w:rsidRDefault="003F7868" w:rsidP="003F7868">
            <w:pPr>
              <w:rPr>
                <w:rFonts w:ascii="Arial" w:hAnsi="Arial" w:cs="Arial"/>
                <w:sz w:val="20"/>
                <w:szCs w:val="20"/>
              </w:rPr>
            </w:pPr>
          </w:p>
        </w:tc>
        <w:tc>
          <w:tcPr>
            <w:tcW w:w="2126"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2.1.3.  Izrada Pravilnika o kontinuiranom profesionalnom usavršavanju internih revizora za javni sektor</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 Izrađen Pravilnik o kontinuiranom profesionalnom usavršavanju internih revizora za javni sektor</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Q4 2021</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Jedinice interne </w:t>
            </w:r>
            <w:r w:rsidR="004C5840" w:rsidRPr="00150B11">
              <w:rPr>
                <w:rFonts w:ascii="Arial" w:hAnsi="Arial" w:cs="Arial"/>
                <w:sz w:val="20"/>
                <w:szCs w:val="20"/>
              </w:rPr>
              <w:t>revizije</w:t>
            </w:r>
          </w:p>
        </w:tc>
      </w:tr>
      <w:tr w:rsidR="003F7868" w:rsidRPr="00150B11" w:rsidTr="00256E54">
        <w:trPr>
          <w:trHeight w:val="622"/>
        </w:trPr>
        <w:tc>
          <w:tcPr>
            <w:tcW w:w="1734" w:type="dxa"/>
            <w:vMerge/>
            <w:vAlign w:val="center"/>
          </w:tcPr>
          <w:p w:rsidR="003F7868" w:rsidRPr="00150B11" w:rsidRDefault="003F7868" w:rsidP="003F7868">
            <w:pPr>
              <w:rPr>
                <w:rFonts w:ascii="Arial" w:hAnsi="Arial" w:cs="Arial"/>
                <w:sz w:val="20"/>
                <w:szCs w:val="20"/>
              </w:rPr>
            </w:pPr>
          </w:p>
        </w:tc>
        <w:tc>
          <w:tcPr>
            <w:tcW w:w="1770" w:type="dxa"/>
            <w:vMerge/>
            <w:shd w:val="clear" w:color="auto" w:fill="auto"/>
          </w:tcPr>
          <w:p w:rsidR="003F7868" w:rsidRPr="00150B11" w:rsidRDefault="003F7868" w:rsidP="003F7868">
            <w:pPr>
              <w:rPr>
                <w:rFonts w:ascii="Arial" w:hAnsi="Arial" w:cs="Arial"/>
                <w:sz w:val="20"/>
                <w:szCs w:val="20"/>
              </w:rPr>
            </w:pPr>
          </w:p>
        </w:tc>
        <w:tc>
          <w:tcPr>
            <w:tcW w:w="2126"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2.1.4 Obuka i stručno usavršavanje internih revizora</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obuka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Broj obučenih revizora</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Kontinuirano do Q4 2027</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ADS FBiH</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Strukovna udruženja </w:t>
            </w:r>
          </w:p>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tc>
      </w:tr>
      <w:tr w:rsidR="003F7868" w:rsidRPr="00150B11" w:rsidTr="00256E54">
        <w:trPr>
          <w:trHeight w:val="996"/>
        </w:trPr>
        <w:tc>
          <w:tcPr>
            <w:tcW w:w="1734" w:type="dxa"/>
            <w:vMerge/>
            <w:vAlign w:val="center"/>
          </w:tcPr>
          <w:p w:rsidR="003F7868" w:rsidRPr="00150B11" w:rsidRDefault="003F7868" w:rsidP="003F7868">
            <w:pPr>
              <w:rPr>
                <w:rFonts w:ascii="Arial" w:hAnsi="Arial" w:cs="Arial"/>
                <w:sz w:val="20"/>
                <w:szCs w:val="20"/>
              </w:rPr>
            </w:pPr>
          </w:p>
        </w:tc>
        <w:tc>
          <w:tcPr>
            <w:tcW w:w="1770" w:type="dxa"/>
            <w:vMerge/>
            <w:shd w:val="clear" w:color="auto" w:fill="auto"/>
          </w:tcPr>
          <w:p w:rsidR="003F7868" w:rsidRPr="00150B11" w:rsidRDefault="003F7868" w:rsidP="003F7868">
            <w:pPr>
              <w:rPr>
                <w:rFonts w:ascii="Arial" w:hAnsi="Arial" w:cs="Arial"/>
                <w:sz w:val="20"/>
                <w:szCs w:val="20"/>
              </w:rPr>
            </w:pPr>
          </w:p>
        </w:tc>
        <w:tc>
          <w:tcPr>
            <w:tcW w:w="2126"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2.1.5. Razvoj i instalacija softvera za upravljanje internom revizijom, uključujući obuku korisnika za korištenje softvera, u svrhu standardizacije rada interne revizije</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Izrađen  i instaliran softver za upravljanje internom revizijom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Broj obučenih korisnika </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Q3 2021</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w:t>
            </w: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(finansiranje i ekspertiza)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Jedinice interne revizije u organizacijama javnog sektora </w:t>
            </w:r>
          </w:p>
        </w:tc>
      </w:tr>
      <w:tr w:rsidR="003F7868" w:rsidRPr="00150B11" w:rsidTr="00256E54">
        <w:trPr>
          <w:trHeight w:val="825"/>
        </w:trPr>
        <w:tc>
          <w:tcPr>
            <w:tcW w:w="1734"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2.2 Profesija interne revizije je adekvatno pozicionirana</w:t>
            </w:r>
          </w:p>
          <w:p w:rsidR="003F7868" w:rsidRPr="00150B11" w:rsidRDefault="003F7868" w:rsidP="003F7868">
            <w:pPr>
              <w:rPr>
                <w:rFonts w:ascii="Arial" w:hAnsi="Arial" w:cs="Arial"/>
                <w:sz w:val="20"/>
                <w:szCs w:val="20"/>
              </w:rPr>
            </w:pPr>
          </w:p>
        </w:tc>
        <w:tc>
          <w:tcPr>
            <w:tcW w:w="1770" w:type="dxa"/>
            <w:vMerge w:val="restart"/>
            <w:shd w:val="clear" w:color="auto" w:fill="auto"/>
            <w:vAlign w:val="center"/>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Usklađen status internih revizora na svim nivoima FBIH </w:t>
            </w:r>
          </w:p>
          <w:p w:rsidR="003F7868" w:rsidRPr="00150B11" w:rsidRDefault="003F7868" w:rsidP="003F7868">
            <w:pPr>
              <w:rPr>
                <w:rFonts w:ascii="Arial" w:hAnsi="Arial" w:cs="Arial"/>
                <w:sz w:val="20"/>
                <w:szCs w:val="20"/>
              </w:rPr>
            </w:pPr>
          </w:p>
        </w:tc>
        <w:tc>
          <w:tcPr>
            <w:tcW w:w="2126"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2.2.1. Sačiniti izmjene i dopune Pravilnika o uslovima za obavljanje poslova interne revizije u javnom sektoru u FBiH </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Ažuriran Pravilnik o uslovima za obavljanje poslova interne revizije u javnom sektoru u FBiH u skladu sa međunarodnim standardima i zahtjevima prakse</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Q3 2021</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Jedinice interne revizije</w:t>
            </w:r>
          </w:p>
        </w:tc>
      </w:tr>
      <w:tr w:rsidR="003F7868" w:rsidRPr="00150B11" w:rsidTr="00256E54">
        <w:trPr>
          <w:trHeight w:val="825"/>
        </w:trPr>
        <w:tc>
          <w:tcPr>
            <w:tcW w:w="1734" w:type="dxa"/>
            <w:vMerge/>
            <w:vAlign w:val="center"/>
          </w:tcPr>
          <w:p w:rsidR="003F7868" w:rsidRPr="00150B11" w:rsidRDefault="003F7868" w:rsidP="003F7868">
            <w:pPr>
              <w:rPr>
                <w:rFonts w:ascii="Arial" w:hAnsi="Arial" w:cs="Arial"/>
                <w:sz w:val="20"/>
                <w:szCs w:val="20"/>
              </w:rPr>
            </w:pPr>
          </w:p>
        </w:tc>
        <w:tc>
          <w:tcPr>
            <w:tcW w:w="1770" w:type="dxa"/>
            <w:vMerge/>
            <w:shd w:val="clear" w:color="auto" w:fill="auto"/>
          </w:tcPr>
          <w:p w:rsidR="003F7868" w:rsidRPr="00150B11" w:rsidRDefault="003F7868" w:rsidP="003F7868">
            <w:pPr>
              <w:rPr>
                <w:rFonts w:ascii="Arial" w:hAnsi="Arial" w:cs="Arial"/>
                <w:sz w:val="20"/>
                <w:szCs w:val="20"/>
              </w:rPr>
            </w:pPr>
          </w:p>
        </w:tc>
        <w:tc>
          <w:tcPr>
            <w:tcW w:w="2126" w:type="dxa"/>
          </w:tcPr>
          <w:p w:rsidR="003F7868" w:rsidRPr="00150B11" w:rsidRDefault="003F7868" w:rsidP="003F7868">
            <w:pPr>
              <w:rPr>
                <w:rFonts w:ascii="Arial" w:hAnsi="Arial" w:cs="Arial"/>
                <w:sz w:val="20"/>
                <w:szCs w:val="20"/>
              </w:rPr>
            </w:pPr>
            <w:r w:rsidRPr="00150B11">
              <w:rPr>
                <w:rFonts w:ascii="Arial" w:hAnsi="Arial" w:cs="Arial"/>
                <w:sz w:val="20"/>
                <w:szCs w:val="20"/>
              </w:rPr>
              <w:t>2.2.2. Izmijeniti regulativu iz područja radno-pravnih odnosa vezano za radna mjesta rukovodioca JIR  i internih revizora.</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Ažurirana regulativa iz područja radno-pravnih odnosa vezano za radna mjesta rukovodioca JIR  i internih revizora i time omogućeno adekvatno pozicioniranje i naknadu za rad</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Q3 2021</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za redovne aktivnosti</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Federalno ministarstvo pravde</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Vlada Federacije</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w:t>
            </w:r>
          </w:p>
          <w:p w:rsidR="003F7868" w:rsidRPr="00150B11" w:rsidRDefault="003F7868" w:rsidP="003F7868">
            <w:pPr>
              <w:rPr>
                <w:rFonts w:ascii="Arial" w:hAnsi="Arial" w:cs="Arial"/>
                <w:sz w:val="20"/>
                <w:szCs w:val="20"/>
              </w:rPr>
            </w:pPr>
          </w:p>
        </w:tc>
      </w:tr>
      <w:tr w:rsidR="003F7868" w:rsidRPr="00150B11" w:rsidTr="00256E54">
        <w:trPr>
          <w:trHeight w:val="1353"/>
        </w:trPr>
        <w:tc>
          <w:tcPr>
            <w:tcW w:w="1734"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2.3. Kadrovski kapaciteti  interne revizije su </w:t>
            </w:r>
            <w:r w:rsidR="004C5840">
              <w:rPr>
                <w:rFonts w:ascii="Arial" w:hAnsi="Arial" w:cs="Arial"/>
                <w:sz w:val="20"/>
                <w:szCs w:val="20"/>
              </w:rPr>
              <w:t>p</w:t>
            </w:r>
            <w:r w:rsidRPr="00150B11">
              <w:rPr>
                <w:rFonts w:ascii="Arial" w:hAnsi="Arial" w:cs="Arial"/>
                <w:sz w:val="20"/>
                <w:szCs w:val="20"/>
              </w:rPr>
              <w:t>ojačani</w:t>
            </w:r>
          </w:p>
        </w:tc>
        <w:tc>
          <w:tcPr>
            <w:tcW w:w="1770" w:type="dxa"/>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Bolja pokrivenost javnog sektora Federacije funkcijom interne revizije</w:t>
            </w:r>
          </w:p>
        </w:tc>
        <w:tc>
          <w:tcPr>
            <w:tcW w:w="2126"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2.3.1. Popunjavanje upražnjenih sistematizovanih radnih mjesta internih revizora </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internih revizora u javnom sektoru u organizacijama javnog sektora FBiH </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Kontinuirano do Q4 2027</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organizacija i dr. u javnom sektoru u FBiH, u okviru sredstava za redovne aktivnosti</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Organizacije u  javnom sektoru u FBiH – obveznici uspostave interne revizije</w:t>
            </w: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CHJ FMF u dijelu davanja saglasnosti na interne akte o sistematizaciji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758"/>
        </w:trPr>
        <w:tc>
          <w:tcPr>
            <w:tcW w:w="1734"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2.4. Interna revizija je usmjerena na pružanje dodatne vrijednosti u visokorizičnim oblastima</w:t>
            </w:r>
          </w:p>
        </w:tc>
        <w:tc>
          <w:tcPr>
            <w:tcW w:w="1770"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Interna revizija pruža mjerljive efekte rada u oblastima od strateškog značaja za organizacije u j.s. u FBiH </w:t>
            </w:r>
          </w:p>
        </w:tc>
        <w:tc>
          <w:tcPr>
            <w:tcW w:w="2126"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2.4.1. Usmjeriti internu reviziju na područja visokog rizika (registri rizika rukovodstva i nezavisna procjena JIR) i davanje preporuka za rješavanje uzroka rizika</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Broj provedenih internih revizija u područjima visokog rizika i finansijski značajnih stavki budžeta/finansijskog plana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Podaci iz KI IR </w:t>
            </w:r>
          </w:p>
        </w:tc>
        <w:tc>
          <w:tcPr>
            <w:tcW w:w="1417" w:type="dxa"/>
            <w:shd w:val="clear" w:color="auto" w:fill="auto"/>
          </w:tcPr>
          <w:p w:rsidR="003F7868" w:rsidRPr="00150B11" w:rsidRDefault="004C5840"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FMF za redovne aktivnosti</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Jedinice interne revizije</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1367"/>
        </w:trPr>
        <w:tc>
          <w:tcPr>
            <w:tcW w:w="1734" w:type="dxa"/>
            <w:vMerge/>
            <w:shd w:val="clear" w:color="auto" w:fill="auto"/>
          </w:tcPr>
          <w:p w:rsidR="003F7868" w:rsidRPr="00150B11" w:rsidRDefault="003F7868" w:rsidP="003F7868">
            <w:pPr>
              <w:rPr>
                <w:rFonts w:ascii="Arial" w:hAnsi="Arial" w:cs="Arial"/>
                <w:sz w:val="20"/>
                <w:szCs w:val="20"/>
              </w:rPr>
            </w:pPr>
          </w:p>
        </w:tc>
        <w:tc>
          <w:tcPr>
            <w:tcW w:w="1770" w:type="dxa"/>
            <w:vMerge/>
            <w:shd w:val="clear" w:color="auto" w:fill="auto"/>
          </w:tcPr>
          <w:p w:rsidR="003F7868" w:rsidRPr="00150B11" w:rsidRDefault="003F7868" w:rsidP="003F7868">
            <w:pPr>
              <w:rPr>
                <w:rFonts w:ascii="Arial" w:hAnsi="Arial" w:cs="Arial"/>
                <w:sz w:val="20"/>
                <w:szCs w:val="20"/>
              </w:rPr>
            </w:pPr>
          </w:p>
        </w:tc>
        <w:tc>
          <w:tcPr>
            <w:tcW w:w="2126" w:type="dxa"/>
            <w:vAlign w:val="center"/>
          </w:tcPr>
          <w:p w:rsidR="003F7868" w:rsidRPr="00150B11" w:rsidRDefault="003F7868" w:rsidP="00150B11">
            <w:pPr>
              <w:rPr>
                <w:rFonts w:ascii="Arial" w:hAnsi="Arial" w:cs="Arial"/>
                <w:sz w:val="20"/>
                <w:szCs w:val="20"/>
              </w:rPr>
            </w:pPr>
            <w:r w:rsidRPr="00150B11">
              <w:rPr>
                <w:rFonts w:ascii="Arial" w:hAnsi="Arial" w:cs="Arial"/>
                <w:sz w:val="20"/>
                <w:szCs w:val="20"/>
              </w:rPr>
              <w:t>2.4.2. Izraditi metodologiju za praćenje ut</w:t>
            </w:r>
            <w:r w:rsidR="00150B11">
              <w:rPr>
                <w:rFonts w:ascii="Arial" w:hAnsi="Arial" w:cs="Arial"/>
                <w:sz w:val="20"/>
                <w:szCs w:val="20"/>
              </w:rPr>
              <w:t>je</w:t>
            </w:r>
            <w:r w:rsidRPr="00150B11">
              <w:rPr>
                <w:rFonts w:ascii="Arial" w:hAnsi="Arial" w:cs="Arial"/>
                <w:sz w:val="20"/>
                <w:szCs w:val="20"/>
              </w:rPr>
              <w:t>caja i kvantifikaciju efekata implementiranih preporuka interne revizije</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Izrađena Metodologija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Mjerljivi efekti </w:t>
            </w:r>
            <w:r w:rsidR="00150B11" w:rsidRPr="00150B11">
              <w:rPr>
                <w:rFonts w:ascii="Arial" w:hAnsi="Arial" w:cs="Arial"/>
                <w:sz w:val="20"/>
                <w:szCs w:val="20"/>
              </w:rPr>
              <w:t>implementacije</w:t>
            </w:r>
            <w:r w:rsidRPr="00150B11">
              <w:rPr>
                <w:rFonts w:ascii="Arial" w:hAnsi="Arial" w:cs="Arial"/>
                <w:sz w:val="20"/>
                <w:szCs w:val="20"/>
              </w:rPr>
              <w:t xml:space="preserve"> preporuka interne revizije za ublažavanje rizika prema godišnjim izvještajima JIR za potrebe KI IR</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Q2 2023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FMF za redovne aktivnosti</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tc>
      </w:tr>
      <w:tr w:rsidR="003F7868" w:rsidRPr="00150B11" w:rsidTr="00256E54">
        <w:trPr>
          <w:trHeight w:val="2335"/>
        </w:trPr>
        <w:tc>
          <w:tcPr>
            <w:tcW w:w="1734" w:type="dxa"/>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2.5 Harmonizovani su  regulativa i prakse interne revizije u javnim preduzećima</w:t>
            </w:r>
          </w:p>
        </w:tc>
        <w:tc>
          <w:tcPr>
            <w:tcW w:w="1770" w:type="dxa"/>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Interna revizija normirana u skladu sa metodološkim okvirom </w:t>
            </w:r>
          </w:p>
        </w:tc>
        <w:tc>
          <w:tcPr>
            <w:tcW w:w="2126" w:type="dxa"/>
            <w:shd w:val="clear" w:color="auto" w:fill="auto"/>
          </w:tcPr>
          <w:p w:rsidR="003F7868" w:rsidRPr="00150B11" w:rsidRDefault="00150B11" w:rsidP="003F7868">
            <w:pPr>
              <w:rPr>
                <w:rFonts w:ascii="Arial" w:hAnsi="Arial" w:cs="Arial"/>
                <w:sz w:val="20"/>
                <w:szCs w:val="20"/>
              </w:rPr>
            </w:pPr>
            <w:r>
              <w:rPr>
                <w:rFonts w:ascii="Arial" w:hAnsi="Arial" w:cs="Arial"/>
                <w:sz w:val="20"/>
                <w:szCs w:val="20"/>
              </w:rPr>
              <w:t>2.5.1. Unapr</w:t>
            </w:r>
            <w:r w:rsidR="003F7868" w:rsidRPr="00150B11">
              <w:rPr>
                <w:rFonts w:ascii="Arial" w:hAnsi="Arial" w:cs="Arial"/>
                <w:sz w:val="20"/>
                <w:szCs w:val="20"/>
              </w:rPr>
              <w:t>eđenje praktične primjene metodologije rada u javnim preduzećima</w:t>
            </w:r>
          </w:p>
        </w:tc>
        <w:tc>
          <w:tcPr>
            <w:tcW w:w="2410"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Interna revizija u javnim preduzećima provodi se na unificiran način u skladu sa metodologijom rada interne revizije što je vidljivo iz GI IR</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Q2 2022</w:t>
            </w:r>
          </w:p>
        </w:tc>
        <w:tc>
          <w:tcPr>
            <w:tcW w:w="1985" w:type="dxa"/>
            <w:shd w:val="clear" w:color="auto" w:fill="auto"/>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N/A</w:t>
            </w:r>
          </w:p>
        </w:tc>
        <w:tc>
          <w:tcPr>
            <w:tcW w:w="1417"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Odjeli interne revizije u javnim preduzećima </w:t>
            </w:r>
          </w:p>
        </w:tc>
        <w:tc>
          <w:tcPr>
            <w:tcW w:w="198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r>
    </w:tbl>
    <w:p w:rsidR="00256E54" w:rsidRDefault="00256E54" w:rsidP="003F7868">
      <w:pPr>
        <w:rPr>
          <w:rFonts w:ascii="Arial" w:hAnsi="Arial" w:cs="Arial"/>
          <w:sz w:val="20"/>
          <w:szCs w:val="20"/>
        </w:rPr>
      </w:pPr>
    </w:p>
    <w:p w:rsidR="00256E54" w:rsidRDefault="00256E54">
      <w:pPr>
        <w:rPr>
          <w:rFonts w:ascii="Arial" w:hAnsi="Arial" w:cs="Arial"/>
          <w:sz w:val="20"/>
          <w:szCs w:val="20"/>
        </w:rPr>
      </w:pPr>
      <w:r>
        <w:rPr>
          <w:rFonts w:ascii="Arial" w:hAnsi="Arial" w:cs="Arial"/>
          <w:sz w:val="20"/>
          <w:szCs w:val="20"/>
        </w:rPr>
        <w:br w:type="page"/>
      </w:r>
    </w:p>
    <w:p w:rsidR="003F7868" w:rsidRPr="00150B11" w:rsidRDefault="003F7868" w:rsidP="003F7868">
      <w:pPr>
        <w:rPr>
          <w:rFonts w:ascii="Arial" w:hAnsi="Arial" w:cs="Arial"/>
          <w:sz w:val="20"/>
          <w:szCs w:val="20"/>
        </w:rPr>
      </w:pPr>
    </w:p>
    <w:tbl>
      <w:tblPr>
        <w:tblStyle w:val="TableGrid"/>
        <w:tblW w:w="14885" w:type="dxa"/>
        <w:tblInd w:w="-431" w:type="dxa"/>
        <w:tblLayout w:type="fixed"/>
        <w:tblLook w:val="04A0" w:firstRow="1" w:lastRow="0" w:firstColumn="1" w:lastColumn="0" w:noHBand="0" w:noVBand="1"/>
      </w:tblPr>
      <w:tblGrid>
        <w:gridCol w:w="1803"/>
        <w:gridCol w:w="1701"/>
        <w:gridCol w:w="2268"/>
        <w:gridCol w:w="2734"/>
        <w:gridCol w:w="1235"/>
        <w:gridCol w:w="1843"/>
        <w:gridCol w:w="1458"/>
        <w:gridCol w:w="1843"/>
      </w:tblGrid>
      <w:tr w:rsidR="003F7868" w:rsidRPr="00150B11" w:rsidTr="00256E54">
        <w:trPr>
          <w:trHeight w:val="418"/>
        </w:trPr>
        <w:tc>
          <w:tcPr>
            <w:tcW w:w="14885" w:type="dxa"/>
            <w:gridSpan w:val="8"/>
            <w:shd w:val="clear" w:color="auto" w:fill="BDD6EE" w:themeFill="accent1" w:themeFillTint="66"/>
            <w:vAlign w:val="center"/>
          </w:tcPr>
          <w:p w:rsidR="003F7868" w:rsidRPr="00150B11" w:rsidRDefault="003F7868" w:rsidP="00256E54">
            <w:pPr>
              <w:rPr>
                <w:rFonts w:ascii="Arial" w:hAnsi="Arial" w:cs="Arial"/>
                <w:b/>
                <w:sz w:val="20"/>
                <w:szCs w:val="20"/>
              </w:rPr>
            </w:pPr>
            <w:r w:rsidRPr="00150B11">
              <w:rPr>
                <w:rFonts w:ascii="Arial" w:hAnsi="Arial" w:cs="Arial"/>
                <w:b/>
                <w:sz w:val="20"/>
                <w:szCs w:val="20"/>
              </w:rPr>
              <w:t>Oblast: 3. MONITORING RAZVOJA I KVALITETA PIFC</w:t>
            </w:r>
          </w:p>
        </w:tc>
      </w:tr>
      <w:tr w:rsidR="003F7868" w:rsidRPr="00150B11" w:rsidTr="00256E54">
        <w:trPr>
          <w:trHeight w:val="396"/>
        </w:trPr>
        <w:tc>
          <w:tcPr>
            <w:tcW w:w="14885" w:type="dxa"/>
            <w:gridSpan w:val="8"/>
            <w:shd w:val="clear" w:color="auto" w:fill="BDD6EE" w:themeFill="accent1" w:themeFillTint="66"/>
            <w:vAlign w:val="center"/>
          </w:tcPr>
          <w:p w:rsidR="003F7868" w:rsidRPr="00150B11" w:rsidRDefault="003F7868" w:rsidP="00256E54">
            <w:pPr>
              <w:rPr>
                <w:rFonts w:ascii="Arial" w:hAnsi="Arial" w:cs="Arial"/>
                <w:b/>
                <w:sz w:val="20"/>
                <w:szCs w:val="20"/>
              </w:rPr>
            </w:pPr>
            <w:r w:rsidRPr="00150B11">
              <w:rPr>
                <w:rFonts w:ascii="Arial" w:hAnsi="Arial" w:cs="Arial"/>
                <w:b/>
                <w:sz w:val="20"/>
                <w:szCs w:val="20"/>
              </w:rPr>
              <w:t>Strateški cilj: Unaprijediti praćenje efektivnosti sistema PIFC</w:t>
            </w:r>
          </w:p>
        </w:tc>
      </w:tr>
      <w:tr w:rsidR="003F7868" w:rsidRPr="00150B11" w:rsidTr="00256E54">
        <w:trPr>
          <w:trHeight w:val="765"/>
        </w:trPr>
        <w:tc>
          <w:tcPr>
            <w:tcW w:w="1803" w:type="dxa"/>
            <w:shd w:val="clear" w:color="auto" w:fill="BDD6EE" w:themeFill="accent1" w:themeFillTint="66"/>
            <w:vAlign w:val="center"/>
          </w:tcPr>
          <w:p w:rsidR="003F7868" w:rsidRPr="00256E54" w:rsidRDefault="00FE52A7" w:rsidP="00256E54">
            <w:pPr>
              <w:jc w:val="center"/>
              <w:rPr>
                <w:rFonts w:ascii="Arial" w:hAnsi="Arial" w:cs="Arial"/>
                <w:b/>
                <w:sz w:val="20"/>
                <w:szCs w:val="20"/>
              </w:rPr>
            </w:pPr>
            <w:r w:rsidRPr="00256E54">
              <w:rPr>
                <w:rFonts w:ascii="Arial" w:hAnsi="Arial" w:cs="Arial"/>
                <w:b/>
                <w:sz w:val="20"/>
                <w:szCs w:val="20"/>
              </w:rPr>
              <w:t>Prioritet</w:t>
            </w:r>
          </w:p>
        </w:tc>
        <w:tc>
          <w:tcPr>
            <w:tcW w:w="1701"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Rezultat</w:t>
            </w:r>
          </w:p>
        </w:tc>
        <w:tc>
          <w:tcPr>
            <w:tcW w:w="2268" w:type="dxa"/>
            <w:shd w:val="clear" w:color="auto" w:fill="BDD6EE" w:themeFill="accent1" w:themeFillTint="66"/>
            <w:vAlign w:val="center"/>
          </w:tcPr>
          <w:p w:rsidR="003F7868" w:rsidRPr="00256E54" w:rsidRDefault="00FE52A7" w:rsidP="00256E54">
            <w:pPr>
              <w:jc w:val="center"/>
              <w:rPr>
                <w:rFonts w:ascii="Arial" w:hAnsi="Arial" w:cs="Arial"/>
                <w:b/>
                <w:sz w:val="20"/>
                <w:szCs w:val="20"/>
              </w:rPr>
            </w:pPr>
            <w:r w:rsidRPr="00256E54">
              <w:rPr>
                <w:rFonts w:ascii="Arial" w:hAnsi="Arial" w:cs="Arial"/>
                <w:b/>
                <w:sz w:val="20"/>
                <w:szCs w:val="20"/>
              </w:rPr>
              <w:t>Mjera</w:t>
            </w:r>
          </w:p>
        </w:tc>
        <w:tc>
          <w:tcPr>
            <w:tcW w:w="2734"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 xml:space="preserve">Indikatori </w:t>
            </w:r>
          </w:p>
        </w:tc>
        <w:tc>
          <w:tcPr>
            <w:tcW w:w="1235"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Rok za realizaciju aktivnosti</w:t>
            </w:r>
          </w:p>
        </w:tc>
        <w:tc>
          <w:tcPr>
            <w:tcW w:w="1843" w:type="dxa"/>
            <w:shd w:val="clear" w:color="auto" w:fill="BDD6EE" w:themeFill="accent1" w:themeFillTint="66"/>
            <w:vAlign w:val="center"/>
          </w:tcPr>
          <w:p w:rsidR="003F7868" w:rsidRPr="00256E54" w:rsidRDefault="00E17F92" w:rsidP="00256E54">
            <w:pPr>
              <w:jc w:val="center"/>
              <w:rPr>
                <w:rFonts w:ascii="Arial" w:hAnsi="Arial" w:cs="Arial"/>
                <w:b/>
                <w:sz w:val="20"/>
                <w:szCs w:val="20"/>
              </w:rPr>
            </w:pPr>
            <w:r>
              <w:rPr>
                <w:rFonts w:ascii="Arial" w:hAnsi="Arial" w:cs="Arial"/>
                <w:b/>
                <w:sz w:val="20"/>
                <w:szCs w:val="20"/>
              </w:rPr>
              <w:t>I</w:t>
            </w:r>
            <w:r w:rsidRPr="00256E54">
              <w:rPr>
                <w:rFonts w:ascii="Arial" w:hAnsi="Arial" w:cs="Arial"/>
                <w:b/>
                <w:sz w:val="20"/>
                <w:szCs w:val="20"/>
              </w:rPr>
              <w:t>zvori finansiranja</w:t>
            </w:r>
            <w:bookmarkStart w:id="1" w:name="_GoBack"/>
            <w:bookmarkEnd w:id="1"/>
          </w:p>
        </w:tc>
        <w:tc>
          <w:tcPr>
            <w:tcW w:w="1458"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Odgovorne organizacije</w:t>
            </w:r>
          </w:p>
        </w:tc>
        <w:tc>
          <w:tcPr>
            <w:tcW w:w="1843" w:type="dxa"/>
            <w:shd w:val="clear" w:color="auto" w:fill="BDD6EE" w:themeFill="accent1" w:themeFillTint="66"/>
            <w:vAlign w:val="center"/>
          </w:tcPr>
          <w:p w:rsidR="003F7868" w:rsidRPr="00256E54" w:rsidRDefault="003F7868" w:rsidP="00256E54">
            <w:pPr>
              <w:jc w:val="center"/>
              <w:rPr>
                <w:rFonts w:ascii="Arial" w:hAnsi="Arial" w:cs="Arial"/>
                <w:b/>
                <w:sz w:val="20"/>
                <w:szCs w:val="20"/>
              </w:rPr>
            </w:pPr>
            <w:r w:rsidRPr="00256E54">
              <w:rPr>
                <w:rFonts w:ascii="Arial" w:hAnsi="Arial" w:cs="Arial"/>
                <w:b/>
                <w:sz w:val="20"/>
                <w:szCs w:val="20"/>
              </w:rPr>
              <w:t>Partnerske organizacije</w:t>
            </w:r>
          </w:p>
          <w:p w:rsidR="003F7868" w:rsidRPr="00256E54" w:rsidRDefault="003F7868" w:rsidP="00256E54">
            <w:pPr>
              <w:jc w:val="center"/>
              <w:rPr>
                <w:rFonts w:ascii="Arial" w:hAnsi="Arial" w:cs="Arial"/>
                <w:b/>
                <w:sz w:val="20"/>
                <w:szCs w:val="20"/>
              </w:rPr>
            </w:pPr>
          </w:p>
        </w:tc>
      </w:tr>
      <w:tr w:rsidR="003F7868" w:rsidRPr="00150B11" w:rsidTr="00256E54">
        <w:trPr>
          <w:trHeight w:val="956"/>
        </w:trPr>
        <w:tc>
          <w:tcPr>
            <w:tcW w:w="1803"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3.1 Automatizacija izvještavanja o PIFC uz proširene izvore i alate za prikupljanje podataka</w:t>
            </w:r>
          </w:p>
        </w:tc>
        <w:tc>
          <w:tcPr>
            <w:tcW w:w="1701"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 xml:space="preserve">Informatizovano godišnje i periodično  izvještavanje,   brža obrada, </w:t>
            </w:r>
          </w:p>
          <w:p w:rsidR="003F7868" w:rsidRPr="00150B11" w:rsidRDefault="003F7868" w:rsidP="003F7868">
            <w:pPr>
              <w:rPr>
                <w:rFonts w:ascii="Arial" w:hAnsi="Arial" w:cs="Arial"/>
                <w:sz w:val="20"/>
                <w:szCs w:val="20"/>
              </w:rPr>
            </w:pPr>
            <w:r w:rsidRPr="00150B11">
              <w:rPr>
                <w:rFonts w:ascii="Arial" w:hAnsi="Arial" w:cs="Arial"/>
                <w:sz w:val="20"/>
                <w:szCs w:val="20"/>
              </w:rPr>
              <w:t>kvantitativne i kvalitativne analize za donošenje odluka</w:t>
            </w:r>
          </w:p>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3.1.1. Revidirati pitanja iz upitnika o samoprocjeni i obrazac za godišnje izvještavanje o FUK i internoj reviziji</w:t>
            </w:r>
          </w:p>
        </w:tc>
        <w:tc>
          <w:tcPr>
            <w:tcW w:w="2734" w:type="dxa"/>
          </w:tcPr>
          <w:p w:rsidR="003F7868" w:rsidRPr="00150B11" w:rsidRDefault="00150B11" w:rsidP="004C5840">
            <w:pPr>
              <w:rPr>
                <w:rFonts w:ascii="Arial" w:hAnsi="Arial" w:cs="Arial"/>
                <w:sz w:val="20"/>
                <w:szCs w:val="20"/>
              </w:rPr>
            </w:pPr>
            <w:r w:rsidRPr="00150B11">
              <w:rPr>
                <w:rFonts w:ascii="Arial" w:hAnsi="Arial" w:cs="Arial"/>
                <w:sz w:val="20"/>
                <w:szCs w:val="20"/>
              </w:rPr>
              <w:t>Izmijenjen</w:t>
            </w:r>
            <w:r w:rsidR="003F7868" w:rsidRPr="00150B11">
              <w:rPr>
                <w:rFonts w:ascii="Arial" w:hAnsi="Arial" w:cs="Arial"/>
                <w:sz w:val="20"/>
                <w:szCs w:val="20"/>
              </w:rPr>
              <w:t xml:space="preserve"> regulatorni okvir u oblasti javnih internih finansijskih kontrola </w:t>
            </w:r>
            <w:r w:rsidR="004C5840">
              <w:rPr>
                <w:rFonts w:ascii="Arial" w:hAnsi="Arial" w:cs="Arial"/>
                <w:sz w:val="20"/>
                <w:szCs w:val="20"/>
              </w:rPr>
              <w:t xml:space="preserve">u </w:t>
            </w:r>
            <w:r w:rsidR="003F7868" w:rsidRPr="00150B11">
              <w:rPr>
                <w:rFonts w:ascii="Arial" w:hAnsi="Arial" w:cs="Arial"/>
                <w:sz w:val="20"/>
                <w:szCs w:val="20"/>
              </w:rPr>
              <w:t xml:space="preserve">vezi </w:t>
            </w:r>
            <w:r w:rsidR="004C5840">
              <w:rPr>
                <w:rFonts w:ascii="Arial" w:hAnsi="Arial" w:cs="Arial"/>
                <w:sz w:val="20"/>
                <w:szCs w:val="20"/>
              </w:rPr>
              <w:t>s</w:t>
            </w:r>
            <w:r w:rsidR="003F7868" w:rsidRPr="00150B11">
              <w:rPr>
                <w:rFonts w:ascii="Arial" w:hAnsi="Arial" w:cs="Arial"/>
                <w:sz w:val="20"/>
                <w:szCs w:val="20"/>
              </w:rPr>
              <w:t>izvještavanj</w:t>
            </w:r>
            <w:r w:rsidR="004C5840">
              <w:rPr>
                <w:rFonts w:ascii="Arial" w:hAnsi="Arial" w:cs="Arial"/>
                <w:sz w:val="20"/>
                <w:szCs w:val="20"/>
              </w:rPr>
              <w:t>em</w:t>
            </w:r>
            <w:r w:rsidR="003F7868" w:rsidRPr="00150B11">
              <w:rPr>
                <w:rFonts w:ascii="Arial" w:hAnsi="Arial" w:cs="Arial"/>
                <w:sz w:val="20"/>
                <w:szCs w:val="20"/>
              </w:rPr>
              <w:t xml:space="preserve"> o FUK i IR</w:t>
            </w:r>
          </w:p>
        </w:tc>
        <w:tc>
          <w:tcPr>
            <w:tcW w:w="1235" w:type="dxa"/>
          </w:tcPr>
          <w:p w:rsidR="003F7868" w:rsidRPr="00150B11" w:rsidRDefault="003F7868" w:rsidP="003F7868">
            <w:pPr>
              <w:rPr>
                <w:rFonts w:ascii="Arial" w:hAnsi="Arial" w:cs="Arial"/>
                <w:sz w:val="20"/>
                <w:szCs w:val="20"/>
              </w:rPr>
            </w:pPr>
            <w:r w:rsidRPr="00150B11">
              <w:rPr>
                <w:rFonts w:ascii="Arial" w:hAnsi="Arial" w:cs="Arial"/>
                <w:sz w:val="20"/>
                <w:szCs w:val="20"/>
              </w:rPr>
              <w:t>Q4 2021</w:t>
            </w:r>
          </w:p>
        </w:tc>
        <w:tc>
          <w:tcPr>
            <w:tcW w:w="1843" w:type="dxa"/>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843" w:type="dxa"/>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 (ekspertiza)</w:t>
            </w:r>
          </w:p>
        </w:tc>
      </w:tr>
      <w:tr w:rsidR="003F7868" w:rsidRPr="00150B11" w:rsidTr="00256E54">
        <w:trPr>
          <w:trHeight w:val="956"/>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3.1.2. Razvoj i instalacija softvera za izvještavanje o FUK i IR, uključujući obuku korisnika za korištenje softvera</w:t>
            </w:r>
          </w:p>
        </w:tc>
        <w:tc>
          <w:tcPr>
            <w:tcW w:w="2734" w:type="dxa"/>
          </w:tcPr>
          <w:p w:rsidR="003F7868" w:rsidRPr="00150B11" w:rsidRDefault="003F7868" w:rsidP="003F7868">
            <w:pPr>
              <w:rPr>
                <w:rFonts w:ascii="Arial" w:hAnsi="Arial" w:cs="Arial"/>
                <w:sz w:val="20"/>
                <w:szCs w:val="20"/>
              </w:rPr>
            </w:pPr>
            <w:r w:rsidRPr="00150B11">
              <w:rPr>
                <w:rFonts w:ascii="Arial" w:hAnsi="Arial" w:cs="Arial"/>
                <w:sz w:val="20"/>
                <w:szCs w:val="20"/>
              </w:rPr>
              <w:t>Instaliran softver za izvještavanje o FUK i internu reviziju</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Korisnici obučeni za korištenje softvera (osoblje  CHJ, koordinatori za FUK i zaposleni u JIR</w:t>
            </w:r>
          </w:p>
        </w:tc>
        <w:tc>
          <w:tcPr>
            <w:tcW w:w="1235"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Q3 2021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Q3 2021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Q3 2021</w:t>
            </w:r>
          </w:p>
        </w:tc>
        <w:tc>
          <w:tcPr>
            <w:tcW w:w="1843"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Projekat tehničke pomoći </w:t>
            </w:r>
          </w:p>
        </w:tc>
        <w:tc>
          <w:tcPr>
            <w:tcW w:w="1458"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tcPr>
          <w:p w:rsidR="003F7868" w:rsidRPr="00150B11" w:rsidRDefault="003F7868" w:rsidP="003F7868">
            <w:pPr>
              <w:rPr>
                <w:rFonts w:ascii="Arial" w:hAnsi="Arial" w:cs="Arial"/>
                <w:sz w:val="20"/>
                <w:szCs w:val="20"/>
              </w:rPr>
            </w:pPr>
            <w:r w:rsidRPr="00150B11">
              <w:rPr>
                <w:rFonts w:ascii="Arial" w:hAnsi="Arial" w:cs="Arial"/>
                <w:sz w:val="20"/>
                <w:szCs w:val="20"/>
              </w:rPr>
              <w:t>Projekat tehničke pomoći (finansiranje i ekspertiza)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obveznici izvještavanja interne revizije i FUK</w:t>
            </w:r>
          </w:p>
          <w:p w:rsidR="003F7868" w:rsidRPr="00150B11" w:rsidRDefault="003F7868" w:rsidP="003F7868">
            <w:pPr>
              <w:rPr>
                <w:rFonts w:ascii="Arial" w:hAnsi="Arial" w:cs="Arial"/>
                <w:sz w:val="20"/>
                <w:szCs w:val="20"/>
              </w:rPr>
            </w:pPr>
          </w:p>
        </w:tc>
      </w:tr>
      <w:tr w:rsidR="003F7868" w:rsidRPr="00150B11" w:rsidTr="00256E54">
        <w:trPr>
          <w:trHeight w:val="956"/>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3.1.3. Primjena softvera za izvještavanje o FUK i IR</w:t>
            </w:r>
          </w:p>
        </w:tc>
        <w:tc>
          <w:tcPr>
            <w:tcW w:w="2734"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Svi obveznici izvještaj o samoprocjeni FUK podnose putem softvera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Sve JIR podnose izvještaj interne revizije preko web aplikacije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Konsolidovani Izvještaji FUK i interne revizije izrađeni korištenjem softvera </w:t>
            </w:r>
          </w:p>
        </w:tc>
        <w:tc>
          <w:tcPr>
            <w:tcW w:w="1235" w:type="dxa"/>
          </w:tcPr>
          <w:p w:rsidR="003F7868" w:rsidRPr="00150B11" w:rsidRDefault="003F7868" w:rsidP="003F7868">
            <w:pPr>
              <w:rPr>
                <w:rFonts w:ascii="Arial" w:hAnsi="Arial" w:cs="Arial"/>
                <w:sz w:val="20"/>
                <w:szCs w:val="20"/>
              </w:rPr>
            </w:pPr>
            <w:r w:rsidRPr="00150B11">
              <w:rPr>
                <w:rFonts w:ascii="Arial" w:hAnsi="Arial" w:cs="Arial"/>
                <w:sz w:val="20"/>
                <w:szCs w:val="20"/>
              </w:rPr>
              <w:t>Q2 2022</w:t>
            </w:r>
          </w:p>
        </w:tc>
        <w:tc>
          <w:tcPr>
            <w:tcW w:w="1843" w:type="dxa"/>
          </w:tcPr>
          <w:p w:rsidR="003F7868" w:rsidRPr="00150B11" w:rsidRDefault="003F7868" w:rsidP="003F7868">
            <w:pPr>
              <w:rPr>
                <w:rFonts w:ascii="Arial" w:hAnsi="Arial" w:cs="Arial"/>
                <w:sz w:val="20"/>
                <w:szCs w:val="20"/>
              </w:rPr>
            </w:pPr>
            <w:r w:rsidRPr="00150B11">
              <w:rPr>
                <w:rFonts w:ascii="Arial" w:hAnsi="Arial" w:cs="Arial"/>
                <w:sz w:val="20"/>
                <w:szCs w:val="20"/>
              </w:rPr>
              <w:t>Projekat tehničke pomoći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organizacija i JIR za redovne aktivnosti</w:t>
            </w:r>
          </w:p>
        </w:tc>
        <w:tc>
          <w:tcPr>
            <w:tcW w:w="1458" w:type="dxa"/>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843" w:type="dxa"/>
          </w:tcPr>
          <w:p w:rsidR="003F7868" w:rsidRPr="00150B11" w:rsidRDefault="003F7868" w:rsidP="003F7868">
            <w:pPr>
              <w:rPr>
                <w:rFonts w:ascii="Arial" w:hAnsi="Arial" w:cs="Arial"/>
                <w:sz w:val="20"/>
                <w:szCs w:val="20"/>
              </w:rPr>
            </w:pPr>
            <w:r w:rsidRPr="00150B11">
              <w:rPr>
                <w:rFonts w:ascii="Arial" w:hAnsi="Arial" w:cs="Arial"/>
                <w:sz w:val="20"/>
                <w:szCs w:val="20"/>
              </w:rPr>
              <w:t>obveznici izvještavanja interne revizije i FUK</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Projekti tehničke podrške (tehnička podrška)</w:t>
            </w:r>
          </w:p>
          <w:p w:rsidR="003F7868" w:rsidRPr="00150B11" w:rsidRDefault="003F7868" w:rsidP="003F7868">
            <w:pPr>
              <w:rPr>
                <w:rFonts w:ascii="Arial" w:hAnsi="Arial" w:cs="Arial"/>
                <w:sz w:val="20"/>
                <w:szCs w:val="20"/>
              </w:rPr>
            </w:pPr>
          </w:p>
        </w:tc>
      </w:tr>
      <w:tr w:rsidR="003F7868" w:rsidRPr="00150B11" w:rsidTr="00256E54">
        <w:trPr>
          <w:trHeight w:val="956"/>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150B11">
            <w:pPr>
              <w:rPr>
                <w:rFonts w:ascii="Arial" w:hAnsi="Arial" w:cs="Arial"/>
                <w:sz w:val="20"/>
                <w:szCs w:val="20"/>
              </w:rPr>
            </w:pPr>
            <w:r w:rsidRPr="00150B11">
              <w:rPr>
                <w:rFonts w:ascii="Arial" w:hAnsi="Arial" w:cs="Arial"/>
                <w:sz w:val="20"/>
                <w:szCs w:val="20"/>
              </w:rPr>
              <w:t xml:space="preserve">3.1.4. </w:t>
            </w:r>
            <w:r w:rsidR="00150B11">
              <w:rPr>
                <w:rFonts w:ascii="Arial" w:hAnsi="Arial" w:cs="Arial"/>
                <w:sz w:val="20"/>
                <w:szCs w:val="20"/>
              </w:rPr>
              <w:t xml:space="preserve">Osigurati </w:t>
            </w:r>
            <w:r w:rsidRPr="00150B11">
              <w:rPr>
                <w:rFonts w:ascii="Arial" w:hAnsi="Arial" w:cs="Arial"/>
                <w:sz w:val="20"/>
                <w:szCs w:val="20"/>
              </w:rPr>
              <w:t>prošireno izvještavanje za FUK i internu reviziju koristeći rezultate samoprocjene, nalaze interne i eksterne revizije, rezultate obavljenih pregleda kvaliteta FUK i IR, status mjera za ublažavanje rizika u ključnim procesima</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 Konsolidovani izvještaj za FUK  i Konsolidovani izvještaj interne revizije pored rezultata  samoprocjene, sadrži rezultate obavljenih pregleda kvaliteta FUK i IR, status mjera za ublažavanje rizika u ključnim procesima</w:t>
            </w:r>
            <w:r w:rsidRPr="00150B11" w:rsidDel="00E70E95">
              <w:rPr>
                <w:rFonts w:ascii="Arial" w:hAnsi="Arial" w:cs="Arial"/>
                <w:sz w:val="20"/>
                <w:szCs w:val="20"/>
              </w:rPr>
              <w:t xml:space="preserve"> </w:t>
            </w:r>
          </w:p>
        </w:tc>
        <w:tc>
          <w:tcPr>
            <w:tcW w:w="1235" w:type="dxa"/>
            <w:shd w:val="clear" w:color="auto" w:fill="auto"/>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Q4 2027</w:t>
            </w:r>
          </w:p>
        </w:tc>
        <w:tc>
          <w:tcPr>
            <w:tcW w:w="1843" w:type="dxa"/>
            <w:shd w:val="clear" w:color="auto" w:fill="auto"/>
          </w:tcPr>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Budžet FBiH u okviru sredstava CHJ FMF za redovne aktivnosti </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 CHJ FMF </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obveznici izvještavanja interne revizije i FUK</w:t>
            </w:r>
          </w:p>
          <w:p w:rsidR="003F7868" w:rsidRPr="00150B11" w:rsidRDefault="003F7868" w:rsidP="003F7868">
            <w:pPr>
              <w:rPr>
                <w:rFonts w:ascii="Arial" w:hAnsi="Arial" w:cs="Arial"/>
                <w:sz w:val="20"/>
                <w:szCs w:val="20"/>
              </w:rPr>
            </w:pPr>
          </w:p>
        </w:tc>
      </w:tr>
      <w:tr w:rsidR="003F7868" w:rsidRPr="00150B11" w:rsidTr="00256E54">
        <w:trPr>
          <w:trHeight w:val="956"/>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3.1.5. Analizirati </w:t>
            </w:r>
            <w:r w:rsidR="00150B11" w:rsidRPr="00150B11">
              <w:rPr>
                <w:rFonts w:ascii="Arial" w:hAnsi="Arial" w:cs="Arial"/>
                <w:sz w:val="20"/>
                <w:szCs w:val="20"/>
              </w:rPr>
              <w:t>mogućnosti</w:t>
            </w:r>
            <w:r w:rsidRPr="00150B11">
              <w:rPr>
                <w:rFonts w:ascii="Arial" w:hAnsi="Arial" w:cs="Arial"/>
                <w:sz w:val="20"/>
                <w:szCs w:val="20"/>
              </w:rPr>
              <w:t xml:space="preserve"> kombinovanja FUK upitnika i upitnika za Izjavu o fiskalnoj odgovornosti</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Izrađena analiza i dostavljena nadležnom sektoru </w:t>
            </w: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Q2 2021</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Sektor za budžet i javne rashode FMF</w:t>
            </w:r>
          </w:p>
          <w:p w:rsidR="003F7868" w:rsidRPr="00150B11" w:rsidRDefault="003F7868" w:rsidP="003F7868">
            <w:pPr>
              <w:rPr>
                <w:rFonts w:ascii="Arial" w:hAnsi="Arial" w:cs="Arial"/>
                <w:sz w:val="20"/>
                <w:szCs w:val="20"/>
              </w:rPr>
            </w:pPr>
            <w:r w:rsidRPr="00150B11">
              <w:rPr>
                <w:rFonts w:ascii="Arial" w:hAnsi="Arial" w:cs="Arial"/>
                <w:sz w:val="20"/>
                <w:szCs w:val="20"/>
              </w:rPr>
              <w:t>Kantonalna ministarstva finansija</w:t>
            </w:r>
          </w:p>
        </w:tc>
      </w:tr>
      <w:tr w:rsidR="003F7868" w:rsidRPr="00150B11" w:rsidTr="00256E54">
        <w:trPr>
          <w:trHeight w:val="573"/>
        </w:trPr>
        <w:tc>
          <w:tcPr>
            <w:tcW w:w="1803" w:type="dxa"/>
            <w:vMerge w:val="restart"/>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3.2 Razviti i implementirati okvir za provjeru kvalitete FUK i interne revizije od strane CHJ</w:t>
            </w:r>
          </w:p>
        </w:tc>
        <w:tc>
          <w:tcPr>
            <w:tcW w:w="1701"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Sistem PIFC je predmet redovnog stručnog praćenja po metodologijama usklađenim sa dobrom međunarodnom praksom</w:t>
            </w: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3.2.1. Razviti metodologiju za provjeru kvaliteta FUK na temelju dobre prakse EU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Izrađena metodologija za pregled kvaliteta FUK u javnom sektoru u FBiH  </w:t>
            </w: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Q4 2021</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 Projekti tehničke pomoći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792"/>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3.2.2. Razviti metodologiju za provjeru  kvaliteta rada interne revizije u javnom sektoru u FBiH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Izrađena metodologija za provjeru kvalitete rada interne revizije u javnom sektoru u FBiH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Broj usvojenih Programa osiguranja i unapređenja kvaliteta  interne revizije  od strane rukovodioca JIR</w:t>
            </w:r>
          </w:p>
          <w:p w:rsidR="003F7868" w:rsidRPr="00150B11" w:rsidRDefault="003F7868" w:rsidP="003F7868">
            <w:pPr>
              <w:rPr>
                <w:rFonts w:ascii="Arial" w:hAnsi="Arial" w:cs="Arial"/>
                <w:sz w:val="20"/>
                <w:szCs w:val="20"/>
              </w:rPr>
            </w:pP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Q3 2021</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Q2  2022</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JIR</w:t>
            </w:r>
          </w:p>
        </w:tc>
      </w:tr>
      <w:tr w:rsidR="003F7868" w:rsidRPr="00150B11" w:rsidTr="00256E54">
        <w:trPr>
          <w:trHeight w:val="6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3.2.3. Provođenje pregleda kvaliteta FUK (uzorak organizacija)</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izvršenih pregleda kvaliteta FUK od strane CHJ </w:t>
            </w: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Od Q1 2022 i kontinuirano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tc>
      </w:tr>
      <w:tr w:rsidR="003F7868" w:rsidRPr="00150B11" w:rsidTr="00256E54">
        <w:trPr>
          <w:trHeight w:val="573"/>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3.2.4.Provođenje pregleda kvaliteta JIR (uzorak organizacija)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izvršenih pregleda kvaliteta JIR od strane CHJ </w:t>
            </w: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Od Q4 2021 i kontinuirano prema godišnjem planu</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tc>
      </w:tr>
      <w:tr w:rsidR="003F7868" w:rsidRPr="00150B11" w:rsidTr="00256E54">
        <w:trPr>
          <w:trHeight w:val="573"/>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3.2.5. Razviti preduslove za eksternu procjenu kvaliteta od strane nezavisnih trećih strana</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Utvrđeni kriteriji za eksternu procjene kvaliteta rada JIR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Q3 2021</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r>
      <w:tr w:rsidR="003F7868" w:rsidRPr="00150B11" w:rsidTr="00256E54">
        <w:trPr>
          <w:trHeight w:val="941"/>
        </w:trPr>
        <w:tc>
          <w:tcPr>
            <w:tcW w:w="1803" w:type="dxa"/>
            <w:vMerge w:val="restart"/>
            <w:vAlign w:val="center"/>
          </w:tcPr>
          <w:p w:rsidR="003F7868" w:rsidRPr="00150B11" w:rsidRDefault="003F7868" w:rsidP="001118C8">
            <w:pPr>
              <w:rPr>
                <w:rFonts w:ascii="Arial" w:hAnsi="Arial" w:cs="Arial"/>
                <w:sz w:val="20"/>
                <w:szCs w:val="20"/>
              </w:rPr>
            </w:pPr>
            <w:r w:rsidRPr="00150B11">
              <w:rPr>
                <w:rFonts w:ascii="Arial" w:hAnsi="Arial" w:cs="Arial"/>
                <w:sz w:val="20"/>
                <w:szCs w:val="20"/>
              </w:rPr>
              <w:t xml:space="preserve">3.3 </w:t>
            </w:r>
            <w:r w:rsidR="001118C8">
              <w:rPr>
                <w:rFonts w:ascii="Arial" w:hAnsi="Arial" w:cs="Arial"/>
                <w:sz w:val="20"/>
                <w:szCs w:val="20"/>
              </w:rPr>
              <w:t>Po</w:t>
            </w:r>
            <w:r w:rsidRPr="00150B11">
              <w:rPr>
                <w:rFonts w:ascii="Arial" w:hAnsi="Arial" w:cs="Arial"/>
                <w:sz w:val="20"/>
                <w:szCs w:val="20"/>
              </w:rPr>
              <w:t>jačan analitički i koordinacioni kapacitet CHJ</w:t>
            </w:r>
          </w:p>
        </w:tc>
        <w:tc>
          <w:tcPr>
            <w:tcW w:w="1701" w:type="dxa"/>
            <w:vMerge w:val="restart"/>
            <w:shd w:val="clear" w:color="auto" w:fill="auto"/>
            <w:vAlign w:val="center"/>
          </w:tcPr>
          <w:p w:rsidR="003F7868" w:rsidRPr="00150B11" w:rsidRDefault="003F7868" w:rsidP="003F7868">
            <w:pPr>
              <w:rPr>
                <w:rFonts w:ascii="Arial" w:hAnsi="Arial" w:cs="Arial"/>
                <w:sz w:val="20"/>
                <w:szCs w:val="20"/>
              </w:rPr>
            </w:pPr>
            <w:r w:rsidRPr="00150B11">
              <w:rPr>
                <w:rFonts w:ascii="Arial" w:hAnsi="Arial" w:cs="Arial"/>
                <w:sz w:val="20"/>
                <w:szCs w:val="20"/>
              </w:rPr>
              <w:t>Kvalitetnije informacije za usmjeravanje i prioritizaciju daljeg razvoja PIFC</w:t>
            </w: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3.3.1. Razvoj stručnih kapaciteta osoblja CHJ iz oblasti PIFC (specijalistička znanja)</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Broj pohađanih obuka po uposleniku</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235" w:type="dxa"/>
            <w:shd w:val="clear" w:color="auto" w:fill="auto"/>
          </w:tcPr>
          <w:p w:rsidR="003F7868" w:rsidRPr="00150B11" w:rsidRDefault="001118C8"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ADS FBiH i druge obrazovne institucije,</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Strukovna udruženja </w:t>
            </w:r>
          </w:p>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w:t>
            </w:r>
          </w:p>
        </w:tc>
      </w:tr>
      <w:tr w:rsidR="003F7868" w:rsidRPr="00150B11" w:rsidTr="00256E54">
        <w:trPr>
          <w:trHeight w:val="9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3.3.2. Redovna razmjena informacija sa Uredom za reviziju institucija u FBiH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Godišnji broj sastanaka sa Uredom za reviziju</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235" w:type="dxa"/>
            <w:shd w:val="clear" w:color="auto" w:fill="auto"/>
          </w:tcPr>
          <w:p w:rsidR="003F7868" w:rsidRPr="00150B11" w:rsidRDefault="001118C8"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Ured za reviziju</w:t>
            </w:r>
          </w:p>
        </w:tc>
      </w:tr>
      <w:tr w:rsidR="003F7868" w:rsidRPr="00150B11" w:rsidTr="00256E54">
        <w:trPr>
          <w:trHeight w:val="9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3.3.3. Redovna razmjena informacija sa kantonalnim ministarstvima finansija</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Godišnji broj  sastanaka sa kantonalnim MF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tc>
        <w:tc>
          <w:tcPr>
            <w:tcW w:w="1235" w:type="dxa"/>
            <w:shd w:val="clear" w:color="auto" w:fill="auto"/>
          </w:tcPr>
          <w:p w:rsidR="003F7868" w:rsidRPr="00150B11" w:rsidRDefault="001118C8"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Kantonalna ministarstva finansija</w:t>
            </w:r>
          </w:p>
        </w:tc>
      </w:tr>
      <w:tr w:rsidR="003F7868" w:rsidRPr="00150B11" w:rsidTr="00256E54">
        <w:trPr>
          <w:trHeight w:val="9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3.3.4. Redovna razmjena informacija sa Agencijom za javne nabavke BiH i razvoj obuka za osobe zadužene za FUK i internu reviziju na temu rizika i kontrola u </w:t>
            </w:r>
          </w:p>
          <w:p w:rsidR="003F7868" w:rsidRPr="00150B11" w:rsidRDefault="003F7868" w:rsidP="003F7868">
            <w:pPr>
              <w:rPr>
                <w:rFonts w:ascii="Arial" w:hAnsi="Arial" w:cs="Arial"/>
                <w:sz w:val="20"/>
                <w:szCs w:val="20"/>
              </w:rPr>
            </w:pPr>
            <w:r w:rsidRPr="00150B11">
              <w:rPr>
                <w:rFonts w:ascii="Arial" w:hAnsi="Arial" w:cs="Arial"/>
                <w:sz w:val="20"/>
                <w:szCs w:val="20"/>
              </w:rPr>
              <w:t>području javnih nabavki, kao i razvoj tipskih rizika u području javnih nabavki</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Broj održanih sastanaka CHJ i predstavnika AJN</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Tipski rizici utvrđeni za područje javnih nabavki, uključeni u Registre rizika</w:t>
            </w:r>
          </w:p>
          <w:p w:rsidR="003F7868" w:rsidRPr="00150B11" w:rsidRDefault="003F7868" w:rsidP="003F7868">
            <w:pPr>
              <w:rPr>
                <w:rFonts w:ascii="Arial" w:hAnsi="Arial" w:cs="Arial"/>
                <w:sz w:val="20"/>
                <w:szCs w:val="20"/>
              </w:rPr>
            </w:pPr>
          </w:p>
        </w:tc>
        <w:tc>
          <w:tcPr>
            <w:tcW w:w="1235"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Kontinuirano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 i druga sredstva namijenjena za edukaciju (sredstva tehničke podrške, budžeti AJN, ADS za provođenje obuka i sl.)</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Agencija za javne nabavke </w:t>
            </w:r>
          </w:p>
          <w:p w:rsidR="003F7868" w:rsidRPr="00150B11" w:rsidRDefault="003F7868" w:rsidP="003F7868">
            <w:pPr>
              <w:rPr>
                <w:rFonts w:ascii="Arial" w:hAnsi="Arial" w:cs="Arial"/>
                <w:sz w:val="20"/>
                <w:szCs w:val="20"/>
              </w:rPr>
            </w:pPr>
            <w:r w:rsidRPr="00150B11">
              <w:rPr>
                <w:rFonts w:ascii="Arial" w:hAnsi="Arial" w:cs="Arial"/>
                <w:sz w:val="20"/>
                <w:szCs w:val="20"/>
              </w:rPr>
              <w:t>ADS FBiH</w:t>
            </w:r>
          </w:p>
          <w:p w:rsidR="003F7868" w:rsidRPr="00150B11" w:rsidRDefault="003F7868" w:rsidP="003F7868">
            <w:pPr>
              <w:rPr>
                <w:rFonts w:ascii="Arial" w:hAnsi="Arial" w:cs="Arial"/>
                <w:sz w:val="20"/>
                <w:szCs w:val="20"/>
              </w:rPr>
            </w:pPr>
            <w:r w:rsidRPr="00150B11">
              <w:rPr>
                <w:rFonts w:ascii="Arial" w:hAnsi="Arial" w:cs="Arial"/>
                <w:sz w:val="20"/>
                <w:szCs w:val="20"/>
              </w:rPr>
              <w:t xml:space="preserve">Strukovna udruženja </w:t>
            </w:r>
          </w:p>
          <w:p w:rsidR="003F7868" w:rsidRPr="00150B11" w:rsidRDefault="003F7868" w:rsidP="003F7868">
            <w:pPr>
              <w:rPr>
                <w:rFonts w:ascii="Arial" w:hAnsi="Arial" w:cs="Arial"/>
                <w:sz w:val="20"/>
                <w:szCs w:val="20"/>
              </w:rPr>
            </w:pPr>
            <w:r w:rsidRPr="00150B11">
              <w:rPr>
                <w:rFonts w:ascii="Arial" w:hAnsi="Arial" w:cs="Arial"/>
                <w:sz w:val="20"/>
                <w:szCs w:val="20"/>
              </w:rPr>
              <w:t>Projekti tehničke pomoći i dr.</w:t>
            </w:r>
          </w:p>
        </w:tc>
      </w:tr>
      <w:tr w:rsidR="003F7868" w:rsidRPr="00150B11" w:rsidTr="00256E54">
        <w:trPr>
          <w:trHeight w:val="9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3.3.5. Redovni sastanci Koordinacionog odbora CHJ BiH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Godišnji broj  sastanaka KO CHJ BiH </w:t>
            </w:r>
          </w:p>
        </w:tc>
        <w:tc>
          <w:tcPr>
            <w:tcW w:w="1235" w:type="dxa"/>
            <w:shd w:val="clear" w:color="auto" w:fill="auto"/>
          </w:tcPr>
          <w:p w:rsidR="003F7868" w:rsidRPr="00150B11" w:rsidRDefault="001118C8"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 KO CHJ</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KO CHJ BiH </w:t>
            </w:r>
          </w:p>
        </w:tc>
      </w:tr>
      <w:tr w:rsidR="003F7868" w:rsidRPr="00150B11" w:rsidTr="00256E54">
        <w:trPr>
          <w:trHeight w:val="9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3.3.6. Jačanje kapaciteta koordinatora za FUK  i redovna razmjena informacija i saradnja sa koordinatorima za FUK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Broj stručnih edukacija i obučenih koordinatora za FUK</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Broj sastanaka i konsultacija sa koordinatorima iz organizacija javnog sektora</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 xml:space="preserve">Uspostavljene tematske radne grupe (npr. za izrade tipskih procedura, za sistemske rizike i kontrole i slično) </w:t>
            </w:r>
          </w:p>
        </w:tc>
        <w:tc>
          <w:tcPr>
            <w:tcW w:w="1235" w:type="dxa"/>
            <w:shd w:val="clear" w:color="auto" w:fill="auto"/>
          </w:tcPr>
          <w:p w:rsidR="003F7868" w:rsidRPr="00150B11" w:rsidRDefault="001118C8"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Budžet KO CHJ u BiH</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Obveznici FUK  </w:t>
            </w:r>
          </w:p>
        </w:tc>
      </w:tr>
      <w:tr w:rsidR="003F7868" w:rsidRPr="00150B11" w:rsidTr="00256E54">
        <w:trPr>
          <w:trHeight w:val="1341"/>
        </w:trPr>
        <w:tc>
          <w:tcPr>
            <w:tcW w:w="1803" w:type="dxa"/>
            <w:vMerge/>
          </w:tcPr>
          <w:p w:rsidR="003F7868" w:rsidRPr="00150B11" w:rsidRDefault="003F7868" w:rsidP="003F7868">
            <w:pPr>
              <w:rPr>
                <w:rFonts w:ascii="Arial" w:hAnsi="Arial" w:cs="Arial"/>
                <w:sz w:val="20"/>
                <w:szCs w:val="20"/>
              </w:rPr>
            </w:pPr>
          </w:p>
        </w:tc>
        <w:tc>
          <w:tcPr>
            <w:tcW w:w="1701" w:type="dxa"/>
            <w:vMerge/>
            <w:shd w:val="clear" w:color="auto" w:fill="auto"/>
          </w:tcPr>
          <w:p w:rsidR="003F7868" w:rsidRPr="00150B11" w:rsidRDefault="003F7868" w:rsidP="003F7868">
            <w:pPr>
              <w:rPr>
                <w:rFonts w:ascii="Arial" w:hAnsi="Arial" w:cs="Arial"/>
                <w:sz w:val="20"/>
                <w:szCs w:val="20"/>
              </w:rPr>
            </w:pPr>
          </w:p>
        </w:tc>
        <w:tc>
          <w:tcPr>
            <w:tcW w:w="2268" w:type="dxa"/>
          </w:tcPr>
          <w:p w:rsidR="003F7868" w:rsidRPr="00150B11" w:rsidRDefault="003F7868" w:rsidP="003F7868">
            <w:pPr>
              <w:rPr>
                <w:rFonts w:ascii="Arial" w:hAnsi="Arial" w:cs="Arial"/>
                <w:sz w:val="20"/>
                <w:szCs w:val="20"/>
              </w:rPr>
            </w:pPr>
            <w:r w:rsidRPr="00150B11">
              <w:rPr>
                <w:rFonts w:ascii="Arial" w:hAnsi="Arial" w:cs="Arial"/>
                <w:sz w:val="20"/>
                <w:szCs w:val="20"/>
              </w:rPr>
              <w:t xml:space="preserve">3.3.7.Redovna razmjena informacija i saradnja sa rukovodiocima JIR </w:t>
            </w:r>
          </w:p>
        </w:tc>
        <w:tc>
          <w:tcPr>
            <w:tcW w:w="2734"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 xml:space="preserve">Broj sastanaka sa rukovodiocima JIR u organizacijama javnog sektora FBiH </w:t>
            </w:r>
          </w:p>
          <w:p w:rsidR="003F7868" w:rsidRPr="00150B11" w:rsidRDefault="003F7868" w:rsidP="003F7868">
            <w:pPr>
              <w:rPr>
                <w:rFonts w:ascii="Arial" w:hAnsi="Arial" w:cs="Arial"/>
                <w:sz w:val="20"/>
                <w:szCs w:val="20"/>
              </w:rPr>
            </w:pPr>
          </w:p>
          <w:p w:rsidR="003F7868" w:rsidRPr="00150B11" w:rsidRDefault="003F7868" w:rsidP="003F7868">
            <w:pPr>
              <w:rPr>
                <w:rFonts w:ascii="Arial" w:hAnsi="Arial" w:cs="Arial"/>
                <w:sz w:val="20"/>
                <w:szCs w:val="20"/>
              </w:rPr>
            </w:pPr>
            <w:r w:rsidRPr="00150B11">
              <w:rPr>
                <w:rFonts w:ascii="Arial" w:hAnsi="Arial" w:cs="Arial"/>
                <w:sz w:val="20"/>
                <w:szCs w:val="20"/>
              </w:rPr>
              <w:t>Uspostavljene tematske radne grupe (npr.</w:t>
            </w:r>
            <w:r w:rsidR="00150B11">
              <w:rPr>
                <w:rFonts w:ascii="Arial" w:hAnsi="Arial" w:cs="Arial"/>
                <w:sz w:val="20"/>
                <w:szCs w:val="20"/>
              </w:rPr>
              <w:t xml:space="preserve"> </w:t>
            </w:r>
            <w:r w:rsidRPr="00150B11">
              <w:rPr>
                <w:rFonts w:ascii="Arial" w:hAnsi="Arial" w:cs="Arial"/>
                <w:sz w:val="20"/>
                <w:szCs w:val="20"/>
              </w:rPr>
              <w:t xml:space="preserve">praktična primjena propisa, i slično) </w:t>
            </w:r>
          </w:p>
        </w:tc>
        <w:tc>
          <w:tcPr>
            <w:tcW w:w="1235" w:type="dxa"/>
            <w:shd w:val="clear" w:color="auto" w:fill="auto"/>
          </w:tcPr>
          <w:p w:rsidR="003F7868" w:rsidRPr="00150B11" w:rsidRDefault="001118C8" w:rsidP="003F7868">
            <w:pPr>
              <w:rPr>
                <w:rFonts w:ascii="Arial" w:hAnsi="Arial" w:cs="Arial"/>
                <w:sz w:val="20"/>
                <w:szCs w:val="20"/>
              </w:rPr>
            </w:pPr>
            <w:r w:rsidRPr="00150B11">
              <w:rPr>
                <w:rFonts w:ascii="Arial" w:hAnsi="Arial" w:cs="Arial"/>
                <w:sz w:val="20"/>
                <w:szCs w:val="20"/>
              </w:rPr>
              <w:t>Kontinuirano</w:t>
            </w:r>
            <w:r w:rsidR="003F7868" w:rsidRPr="00150B11">
              <w:rPr>
                <w:rFonts w:ascii="Arial" w:hAnsi="Arial" w:cs="Arial"/>
                <w:sz w:val="20"/>
                <w:szCs w:val="20"/>
              </w:rPr>
              <w:t xml:space="preserve"> do Q4 2027</w:t>
            </w: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Budžet FBiH, u okviru sredstava CHJ FMF za redovne aktivnosti</w:t>
            </w:r>
          </w:p>
        </w:tc>
        <w:tc>
          <w:tcPr>
            <w:tcW w:w="1458"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CHJ FMF</w:t>
            </w:r>
          </w:p>
          <w:p w:rsidR="003F7868" w:rsidRPr="00150B11" w:rsidRDefault="003F7868" w:rsidP="003F7868">
            <w:pPr>
              <w:rPr>
                <w:rFonts w:ascii="Arial" w:hAnsi="Arial" w:cs="Arial"/>
                <w:sz w:val="20"/>
                <w:szCs w:val="20"/>
              </w:rPr>
            </w:pPr>
          </w:p>
        </w:tc>
        <w:tc>
          <w:tcPr>
            <w:tcW w:w="1843" w:type="dxa"/>
            <w:shd w:val="clear" w:color="auto" w:fill="auto"/>
          </w:tcPr>
          <w:p w:rsidR="003F7868" w:rsidRPr="00150B11" w:rsidRDefault="003F7868" w:rsidP="003F7868">
            <w:pPr>
              <w:rPr>
                <w:rFonts w:ascii="Arial" w:hAnsi="Arial" w:cs="Arial"/>
                <w:sz w:val="20"/>
                <w:szCs w:val="20"/>
              </w:rPr>
            </w:pPr>
            <w:r w:rsidRPr="00150B11">
              <w:rPr>
                <w:rFonts w:ascii="Arial" w:hAnsi="Arial" w:cs="Arial"/>
                <w:sz w:val="20"/>
                <w:szCs w:val="20"/>
              </w:rPr>
              <w:t>Jedinice interne revizije u organizacijama javnog sektora</w:t>
            </w:r>
          </w:p>
          <w:p w:rsidR="003F7868" w:rsidRPr="00150B11" w:rsidRDefault="003F7868" w:rsidP="003F7868">
            <w:pPr>
              <w:rPr>
                <w:rFonts w:ascii="Arial" w:hAnsi="Arial" w:cs="Arial"/>
                <w:sz w:val="20"/>
                <w:szCs w:val="20"/>
              </w:rPr>
            </w:pPr>
          </w:p>
        </w:tc>
      </w:tr>
    </w:tbl>
    <w:p w:rsidR="00E5192D" w:rsidRPr="00150B11" w:rsidRDefault="00E5192D" w:rsidP="003F7868">
      <w:pPr>
        <w:rPr>
          <w:rFonts w:ascii="Arial" w:hAnsi="Arial" w:cs="Arial"/>
          <w:sz w:val="20"/>
          <w:szCs w:val="20"/>
        </w:rPr>
      </w:pPr>
    </w:p>
    <w:sectPr w:rsidR="00E5192D" w:rsidRPr="00150B11" w:rsidSect="003F7868">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DD" w:rsidRDefault="00BD27DD">
      <w:pPr>
        <w:spacing w:after="0" w:line="240" w:lineRule="auto"/>
      </w:pPr>
      <w:r>
        <w:separator/>
      </w:r>
    </w:p>
  </w:endnote>
  <w:endnote w:type="continuationSeparator" w:id="0">
    <w:p w:rsidR="00BD27DD" w:rsidRDefault="00BD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RO_Swiss-Norm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668056124"/>
      <w:docPartObj>
        <w:docPartGallery w:val="Page Numbers (Bottom of Page)"/>
        <w:docPartUnique/>
      </w:docPartObj>
    </w:sdtPr>
    <w:sdtEndPr>
      <w:rPr>
        <w:noProof/>
      </w:rPr>
    </w:sdtEndPr>
    <w:sdtContent>
      <w:p w:rsidR="00BD27DD" w:rsidRPr="004572B0" w:rsidRDefault="00BD27DD" w:rsidP="004C5840">
        <w:pPr>
          <w:rPr>
            <w:rFonts w:ascii="Calibri Light" w:hAnsi="Calibri Light" w:cs="Calibri Light"/>
            <w:sz w:val="8"/>
          </w:rPr>
        </w:pPr>
      </w:p>
      <w:p w:rsidR="00BD27DD" w:rsidRDefault="00BD27DD" w:rsidP="004C5840">
        <w:pPr>
          <w:pStyle w:val="Footer"/>
          <w:tabs>
            <w:tab w:val="left" w:pos="2378"/>
          </w:tabs>
        </w:pPr>
        <w:r>
          <w:tab/>
        </w:r>
        <w:r>
          <w:tab/>
        </w:r>
        <w:r>
          <w:tab/>
        </w:r>
        <w:r>
          <w:fldChar w:fldCharType="begin"/>
        </w:r>
        <w:r>
          <w:instrText xml:space="preserve"> PAGE   \* MERGEFORMAT </w:instrText>
        </w:r>
        <w:r>
          <w:fldChar w:fldCharType="separate"/>
        </w:r>
        <w:r w:rsidR="00E17F92">
          <w:rPr>
            <w:noProof/>
          </w:rPr>
          <w:t>12</w:t>
        </w:r>
        <w:r>
          <w:rPr>
            <w:noProof/>
          </w:rPr>
          <w:fldChar w:fldCharType="end"/>
        </w:r>
      </w:p>
    </w:sdtContent>
  </w:sdt>
  <w:p w:rsidR="00BD27DD" w:rsidRDefault="00BD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DD" w:rsidRDefault="00BD27DD">
      <w:pPr>
        <w:spacing w:after="0" w:line="240" w:lineRule="auto"/>
      </w:pPr>
      <w:r>
        <w:separator/>
      </w:r>
    </w:p>
  </w:footnote>
  <w:footnote w:type="continuationSeparator" w:id="0">
    <w:p w:rsidR="00BD27DD" w:rsidRDefault="00BD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DD" w:rsidRDefault="00BD27DD" w:rsidP="004C5840">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A8B"/>
    <w:multiLevelType w:val="hybridMultilevel"/>
    <w:tmpl w:val="F468DB4A"/>
    <w:lvl w:ilvl="0" w:tplc="2D8A772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BF4F6F"/>
    <w:multiLevelType w:val="hybridMultilevel"/>
    <w:tmpl w:val="35206A72"/>
    <w:lvl w:ilvl="0" w:tplc="2D8A7724">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9B32D14"/>
    <w:multiLevelType w:val="hybridMultilevel"/>
    <w:tmpl w:val="2660AC30"/>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3303"/>
    <w:multiLevelType w:val="multilevel"/>
    <w:tmpl w:val="B734E75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743A3"/>
    <w:multiLevelType w:val="multilevel"/>
    <w:tmpl w:val="303E36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ED4C19"/>
    <w:multiLevelType w:val="multilevel"/>
    <w:tmpl w:val="46E096B4"/>
    <w:lvl w:ilvl="0">
      <w:start w:val="1"/>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AF47D1"/>
    <w:multiLevelType w:val="hybridMultilevel"/>
    <w:tmpl w:val="EF08BA06"/>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2BE06FBF"/>
    <w:multiLevelType w:val="hybridMultilevel"/>
    <w:tmpl w:val="8EE4660E"/>
    <w:lvl w:ilvl="0" w:tplc="59F6C0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0FE8"/>
    <w:multiLevelType w:val="hybridMultilevel"/>
    <w:tmpl w:val="E0CCA212"/>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11F0D"/>
    <w:multiLevelType w:val="hybridMultilevel"/>
    <w:tmpl w:val="F57C5BBE"/>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EBF5929"/>
    <w:multiLevelType w:val="hybridMultilevel"/>
    <w:tmpl w:val="A628FEC0"/>
    <w:lvl w:ilvl="0" w:tplc="637892F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F806501"/>
    <w:multiLevelType w:val="hybridMultilevel"/>
    <w:tmpl w:val="5644BFC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5383861"/>
    <w:multiLevelType w:val="hybridMultilevel"/>
    <w:tmpl w:val="63C01C32"/>
    <w:lvl w:ilvl="0" w:tplc="2D8A77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512253"/>
    <w:multiLevelType w:val="hybridMultilevel"/>
    <w:tmpl w:val="B9C8E7A6"/>
    <w:lvl w:ilvl="0" w:tplc="E30AB3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DCE199E"/>
    <w:multiLevelType w:val="hybridMultilevel"/>
    <w:tmpl w:val="F034B11C"/>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3401105"/>
    <w:multiLevelType w:val="multilevel"/>
    <w:tmpl w:val="CE10D7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63D037E"/>
    <w:multiLevelType w:val="hybridMultilevel"/>
    <w:tmpl w:val="98603E6E"/>
    <w:lvl w:ilvl="0" w:tplc="2500CCFE">
      <w:start w:val="1"/>
      <w:numFmt w:val="decimal"/>
      <w:lvlText w:val="(%1)"/>
      <w:lvlJc w:val="left"/>
      <w:pPr>
        <w:ind w:left="360" w:hanging="360"/>
      </w:pPr>
      <w:rPr>
        <w:rFonts w:hint="default"/>
      </w:rPr>
    </w:lvl>
    <w:lvl w:ilvl="1" w:tplc="141A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40FA4"/>
    <w:multiLevelType w:val="hybridMultilevel"/>
    <w:tmpl w:val="91AE67AE"/>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B6D5A"/>
    <w:multiLevelType w:val="hybridMultilevel"/>
    <w:tmpl w:val="8614246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7"/>
  </w:num>
  <w:num w:numId="5">
    <w:abstractNumId w:val="4"/>
  </w:num>
  <w:num w:numId="6">
    <w:abstractNumId w:val="14"/>
  </w:num>
  <w:num w:numId="7">
    <w:abstractNumId w:val="9"/>
  </w:num>
  <w:num w:numId="8">
    <w:abstractNumId w:val="13"/>
  </w:num>
  <w:num w:numId="9">
    <w:abstractNumId w:val="16"/>
  </w:num>
  <w:num w:numId="10">
    <w:abstractNumId w:val="6"/>
  </w:num>
  <w:num w:numId="11">
    <w:abstractNumId w:val="17"/>
  </w:num>
  <w:num w:numId="12">
    <w:abstractNumId w:val="12"/>
  </w:num>
  <w:num w:numId="13">
    <w:abstractNumId w:val="18"/>
  </w:num>
  <w:num w:numId="14">
    <w:abstractNumId w:val="11"/>
  </w:num>
  <w:num w:numId="15">
    <w:abstractNumId w:val="2"/>
  </w:num>
  <w:num w:numId="16">
    <w:abstractNumId w:val="1"/>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68"/>
    <w:rsid w:val="001118C8"/>
    <w:rsid w:val="00150B11"/>
    <w:rsid w:val="001E4A65"/>
    <w:rsid w:val="00256E54"/>
    <w:rsid w:val="002C65C5"/>
    <w:rsid w:val="00300583"/>
    <w:rsid w:val="003D2DB0"/>
    <w:rsid w:val="003F7868"/>
    <w:rsid w:val="004C5840"/>
    <w:rsid w:val="00782C2D"/>
    <w:rsid w:val="00BD27DD"/>
    <w:rsid w:val="00E17F92"/>
    <w:rsid w:val="00E5192D"/>
    <w:rsid w:val="00FE52A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E4E569D-2474-49EE-8B15-E41528BF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3F786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F786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nhideWhenUsed/>
    <w:qFormat/>
    <w:rsid w:val="003F786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3F7868"/>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3F7868"/>
    <w:pPr>
      <w:keepNext/>
      <w:keepLines/>
      <w:spacing w:before="40" w:after="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6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F786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3F786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3F7868"/>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3F7868"/>
    <w:rPr>
      <w:rFonts w:asciiTheme="majorHAnsi" w:eastAsiaTheme="majorEastAsia" w:hAnsiTheme="majorHAnsi" w:cstheme="majorBidi"/>
      <w:color w:val="2E74B5" w:themeColor="accent1" w:themeShade="BF"/>
      <w:lang w:val="en-US"/>
    </w:rPr>
  </w:style>
  <w:style w:type="numbering" w:customStyle="1" w:styleId="NoList1">
    <w:name w:val="No List1"/>
    <w:next w:val="NoList"/>
    <w:uiPriority w:val="99"/>
    <w:semiHidden/>
    <w:unhideWhenUsed/>
    <w:rsid w:val="003F7868"/>
  </w:style>
  <w:style w:type="paragraph" w:styleId="ListParagraph">
    <w:name w:val="List Paragraph"/>
    <w:basedOn w:val="Normal"/>
    <w:link w:val="ListParagraphChar"/>
    <w:uiPriority w:val="34"/>
    <w:qFormat/>
    <w:rsid w:val="003F7868"/>
    <w:pPr>
      <w:ind w:left="720"/>
      <w:contextualSpacing/>
    </w:pPr>
    <w:rPr>
      <w:lang w:val="en-US"/>
    </w:rPr>
  </w:style>
  <w:style w:type="table" w:styleId="TableGrid">
    <w:name w:val="Table Grid"/>
    <w:aliases w:val="TabelEcorys,Row header"/>
    <w:basedOn w:val="TableNormal"/>
    <w:uiPriority w:val="39"/>
    <w:rsid w:val="003F78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F7868"/>
    <w:rPr>
      <w:lang w:val="en-US"/>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3F7868"/>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3F7868"/>
    <w:rPr>
      <w:sz w:val="20"/>
      <w:szCs w:val="20"/>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3F7868"/>
    <w:rPr>
      <w:vertAlign w:val="superscript"/>
    </w:rPr>
  </w:style>
  <w:style w:type="paragraph" w:customStyle="1" w:styleId="Tablica1">
    <w:name w:val="Tablica 1"/>
    <w:basedOn w:val="Normal"/>
    <w:link w:val="FootnoteReference"/>
    <w:autoRedefine/>
    <w:uiPriority w:val="99"/>
    <w:qFormat/>
    <w:rsid w:val="003F7868"/>
    <w:pPr>
      <w:spacing w:line="240" w:lineRule="exact"/>
    </w:pPr>
    <w:rPr>
      <w:vertAlign w:val="superscript"/>
    </w:rPr>
  </w:style>
  <w:style w:type="paragraph" w:styleId="Header">
    <w:name w:val="header"/>
    <w:aliases w:val="En-tête client,Header1"/>
    <w:basedOn w:val="Normal"/>
    <w:link w:val="HeaderChar"/>
    <w:uiPriority w:val="99"/>
    <w:unhideWhenUsed/>
    <w:rsid w:val="003F7868"/>
    <w:pPr>
      <w:tabs>
        <w:tab w:val="center" w:pos="4680"/>
        <w:tab w:val="right" w:pos="9360"/>
      </w:tabs>
      <w:spacing w:after="0" w:line="240" w:lineRule="auto"/>
    </w:pPr>
    <w:rPr>
      <w:lang w:val="en-US"/>
    </w:rPr>
  </w:style>
  <w:style w:type="character" w:customStyle="1" w:styleId="HeaderChar">
    <w:name w:val="Header Char"/>
    <w:aliases w:val="En-tête client Char,Header1 Char"/>
    <w:basedOn w:val="DefaultParagraphFont"/>
    <w:link w:val="Header"/>
    <w:uiPriority w:val="99"/>
    <w:rsid w:val="003F7868"/>
    <w:rPr>
      <w:lang w:val="en-US"/>
    </w:rPr>
  </w:style>
  <w:style w:type="paragraph" w:styleId="Footer">
    <w:name w:val="footer"/>
    <w:aliases w:val="eersteregel"/>
    <w:basedOn w:val="Normal"/>
    <w:link w:val="FooterChar"/>
    <w:uiPriority w:val="99"/>
    <w:unhideWhenUsed/>
    <w:rsid w:val="003F7868"/>
    <w:pPr>
      <w:tabs>
        <w:tab w:val="center" w:pos="4680"/>
        <w:tab w:val="right" w:pos="9360"/>
      </w:tabs>
      <w:spacing w:after="0" w:line="240" w:lineRule="auto"/>
    </w:pPr>
    <w:rPr>
      <w:lang w:val="en-US"/>
    </w:rPr>
  </w:style>
  <w:style w:type="character" w:customStyle="1" w:styleId="FooterChar">
    <w:name w:val="Footer Char"/>
    <w:aliases w:val="eersteregel Char"/>
    <w:basedOn w:val="DefaultParagraphFont"/>
    <w:link w:val="Footer"/>
    <w:uiPriority w:val="99"/>
    <w:rsid w:val="003F7868"/>
    <w:rPr>
      <w:lang w:val="en-US"/>
    </w:rPr>
  </w:style>
  <w:style w:type="paragraph" w:styleId="TOCHeading">
    <w:name w:val="TOC Heading"/>
    <w:basedOn w:val="Heading1"/>
    <w:next w:val="Normal"/>
    <w:uiPriority w:val="39"/>
    <w:unhideWhenUsed/>
    <w:qFormat/>
    <w:rsid w:val="003F7868"/>
    <w:pPr>
      <w:outlineLvl w:val="9"/>
    </w:pPr>
  </w:style>
  <w:style w:type="paragraph" w:styleId="TOC1">
    <w:name w:val="toc 1"/>
    <w:basedOn w:val="Normal"/>
    <w:next w:val="Normal"/>
    <w:autoRedefine/>
    <w:uiPriority w:val="39"/>
    <w:unhideWhenUsed/>
    <w:rsid w:val="003F7868"/>
    <w:pPr>
      <w:tabs>
        <w:tab w:val="left" w:pos="426"/>
        <w:tab w:val="right" w:leader="dot" w:pos="9350"/>
      </w:tabs>
      <w:spacing w:after="100"/>
      <w:ind w:left="426" w:hanging="426"/>
    </w:pPr>
    <w:rPr>
      <w:lang w:val="en-US"/>
    </w:rPr>
  </w:style>
  <w:style w:type="paragraph" w:styleId="TOC2">
    <w:name w:val="toc 2"/>
    <w:basedOn w:val="Normal"/>
    <w:next w:val="Normal"/>
    <w:autoRedefine/>
    <w:uiPriority w:val="39"/>
    <w:unhideWhenUsed/>
    <w:rsid w:val="003F7868"/>
    <w:pPr>
      <w:spacing w:after="100"/>
      <w:ind w:left="220"/>
    </w:pPr>
    <w:rPr>
      <w:lang w:val="en-US"/>
    </w:rPr>
  </w:style>
  <w:style w:type="paragraph" w:styleId="TOC3">
    <w:name w:val="toc 3"/>
    <w:basedOn w:val="Normal"/>
    <w:next w:val="Normal"/>
    <w:autoRedefine/>
    <w:uiPriority w:val="39"/>
    <w:unhideWhenUsed/>
    <w:rsid w:val="003F7868"/>
    <w:pPr>
      <w:tabs>
        <w:tab w:val="right" w:leader="dot" w:pos="9350"/>
      </w:tabs>
      <w:spacing w:after="100"/>
      <w:ind w:left="440"/>
      <w:jc w:val="center"/>
    </w:pPr>
    <w:rPr>
      <w:lang w:val="en-US"/>
    </w:rPr>
  </w:style>
  <w:style w:type="character" w:styleId="Hyperlink">
    <w:name w:val="Hyperlink"/>
    <w:basedOn w:val="DefaultParagraphFont"/>
    <w:uiPriority w:val="99"/>
    <w:unhideWhenUsed/>
    <w:rsid w:val="003F7868"/>
    <w:rPr>
      <w:color w:val="0563C1" w:themeColor="hyperlink"/>
      <w:u w:val="single"/>
    </w:rPr>
  </w:style>
  <w:style w:type="character" w:styleId="CommentReference">
    <w:name w:val="annotation reference"/>
    <w:basedOn w:val="DefaultParagraphFont"/>
    <w:uiPriority w:val="99"/>
    <w:semiHidden/>
    <w:unhideWhenUsed/>
    <w:rsid w:val="003F7868"/>
    <w:rPr>
      <w:sz w:val="16"/>
      <w:szCs w:val="16"/>
    </w:rPr>
  </w:style>
  <w:style w:type="paragraph" w:styleId="CommentText">
    <w:name w:val="annotation text"/>
    <w:basedOn w:val="Normal"/>
    <w:link w:val="CommentTextChar"/>
    <w:uiPriority w:val="99"/>
    <w:unhideWhenUsed/>
    <w:rsid w:val="003F7868"/>
    <w:pPr>
      <w:spacing w:line="240" w:lineRule="auto"/>
    </w:pPr>
    <w:rPr>
      <w:sz w:val="20"/>
      <w:szCs w:val="20"/>
      <w:lang w:val="en-US"/>
    </w:rPr>
  </w:style>
  <w:style w:type="character" w:customStyle="1" w:styleId="CommentTextChar">
    <w:name w:val="Comment Text Char"/>
    <w:basedOn w:val="DefaultParagraphFont"/>
    <w:link w:val="CommentText"/>
    <w:uiPriority w:val="99"/>
    <w:rsid w:val="003F7868"/>
    <w:rPr>
      <w:sz w:val="20"/>
      <w:szCs w:val="20"/>
      <w:lang w:val="en-US"/>
    </w:rPr>
  </w:style>
  <w:style w:type="paragraph" w:styleId="CommentSubject">
    <w:name w:val="annotation subject"/>
    <w:basedOn w:val="CommentText"/>
    <w:next w:val="CommentText"/>
    <w:link w:val="CommentSubjectChar"/>
    <w:uiPriority w:val="99"/>
    <w:semiHidden/>
    <w:unhideWhenUsed/>
    <w:rsid w:val="003F7868"/>
    <w:rPr>
      <w:b/>
      <w:bCs/>
    </w:rPr>
  </w:style>
  <w:style w:type="character" w:customStyle="1" w:styleId="CommentSubjectChar">
    <w:name w:val="Comment Subject Char"/>
    <w:basedOn w:val="CommentTextChar"/>
    <w:link w:val="CommentSubject"/>
    <w:uiPriority w:val="99"/>
    <w:semiHidden/>
    <w:rsid w:val="003F7868"/>
    <w:rPr>
      <w:b/>
      <w:bCs/>
      <w:sz w:val="20"/>
      <w:szCs w:val="20"/>
      <w:lang w:val="en-US"/>
    </w:rPr>
  </w:style>
  <w:style w:type="paragraph" w:styleId="BalloonText">
    <w:name w:val="Balloon Text"/>
    <w:basedOn w:val="Normal"/>
    <w:link w:val="BalloonTextChar"/>
    <w:uiPriority w:val="99"/>
    <w:semiHidden/>
    <w:unhideWhenUsed/>
    <w:rsid w:val="003F7868"/>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F7868"/>
    <w:rPr>
      <w:rFonts w:ascii="Segoe UI" w:hAnsi="Segoe UI" w:cs="Segoe UI"/>
      <w:sz w:val="18"/>
      <w:szCs w:val="18"/>
      <w:lang w:val="en-US"/>
    </w:rPr>
  </w:style>
  <w:style w:type="paragraph" w:customStyle="1" w:styleId="Bulleted">
    <w:name w:val="Bulleted"/>
    <w:basedOn w:val="ListBullet"/>
    <w:link w:val="BulletedChar"/>
    <w:qFormat/>
    <w:rsid w:val="003F7868"/>
    <w:pPr>
      <w:tabs>
        <w:tab w:val="num" w:pos="720"/>
      </w:tabs>
      <w:spacing w:after="0" w:line="240" w:lineRule="auto"/>
      <w:ind w:left="357" w:hanging="357"/>
      <w:contextualSpacing w:val="0"/>
      <w:jc w:val="both"/>
    </w:pPr>
    <w:rPr>
      <w:rFonts w:ascii="Calibri" w:eastAsia="Calibri" w:hAnsi="Calibri" w:cs="Times New Roman"/>
      <w:lang w:val="en-GB"/>
    </w:rPr>
  </w:style>
  <w:style w:type="character" w:customStyle="1" w:styleId="BulletedChar">
    <w:name w:val="Bulleted Char"/>
    <w:link w:val="Bulleted"/>
    <w:rsid w:val="003F7868"/>
    <w:rPr>
      <w:rFonts w:ascii="Calibri" w:eastAsia="Calibri" w:hAnsi="Calibri" w:cs="Times New Roman"/>
      <w:lang w:val="en-GB"/>
    </w:rPr>
  </w:style>
  <w:style w:type="paragraph" w:styleId="ListBullet">
    <w:name w:val="List Bullet"/>
    <w:basedOn w:val="Normal"/>
    <w:uiPriority w:val="99"/>
    <w:semiHidden/>
    <w:unhideWhenUsed/>
    <w:rsid w:val="003F7868"/>
    <w:pPr>
      <w:ind w:left="8298" w:hanging="360"/>
      <w:contextualSpacing/>
    </w:pPr>
    <w:rPr>
      <w:lang w:val="en-US"/>
    </w:rPr>
  </w:style>
  <w:style w:type="paragraph" w:customStyle="1" w:styleId="Ref">
    <w:name w:val="Ref"/>
    <w:aliases w:val="Footnotes refs"/>
    <w:basedOn w:val="Normal"/>
    <w:uiPriority w:val="99"/>
    <w:rsid w:val="003F7868"/>
    <w:pPr>
      <w:spacing w:line="240" w:lineRule="exact"/>
    </w:pPr>
    <w:rPr>
      <w:rFonts w:ascii="Arial" w:eastAsia="Calibri" w:hAnsi="Arial" w:cs="Times New Roman"/>
      <w:position w:val="6"/>
      <w:sz w:val="16"/>
      <w:lang w:val="en-GB"/>
    </w:rPr>
  </w:style>
  <w:style w:type="paragraph" w:customStyle="1" w:styleId="Default">
    <w:name w:val="Default"/>
    <w:rsid w:val="003F7868"/>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3F7868"/>
    <w:pPr>
      <w:spacing w:after="0" w:line="240" w:lineRule="auto"/>
    </w:pPr>
    <w:rPr>
      <w:lang w:val="en-US"/>
    </w:rPr>
  </w:style>
  <w:style w:type="character" w:styleId="Strong">
    <w:name w:val="Strong"/>
    <w:basedOn w:val="DefaultParagraphFont"/>
    <w:uiPriority w:val="22"/>
    <w:qFormat/>
    <w:rsid w:val="003F7868"/>
    <w:rPr>
      <w:b/>
      <w:bCs/>
    </w:rPr>
  </w:style>
  <w:style w:type="paragraph" w:customStyle="1" w:styleId="p6">
    <w:name w:val="p6"/>
    <w:basedOn w:val="Normal"/>
    <w:rsid w:val="003F7868"/>
    <w:pPr>
      <w:spacing w:before="255" w:after="0" w:line="240" w:lineRule="auto"/>
      <w:jc w:val="both"/>
    </w:pPr>
    <w:rPr>
      <w:rFonts w:ascii="Times New Roman" w:eastAsia="Times New Roman" w:hAnsi="Times New Roman" w:cs="Times New Roman"/>
      <w:sz w:val="24"/>
      <w:szCs w:val="24"/>
      <w:lang w:eastAsia="bs-Latn-BA"/>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rsid w:val="003F7868"/>
    <w:pPr>
      <w:spacing w:line="240" w:lineRule="exact"/>
    </w:pPr>
    <w:rPr>
      <w:rFonts w:ascii="Times New Roman" w:eastAsia="Times New Roman" w:hAnsi="Times New Roman" w:cs="Times New Roman"/>
      <w:sz w:val="20"/>
      <w:szCs w:val="20"/>
      <w:vertAlign w:val="superscript"/>
      <w:lang w:eastAsia="bs-Latn-BA"/>
    </w:rPr>
  </w:style>
  <w:style w:type="paragraph" w:customStyle="1" w:styleId="Cha1">
    <w:name w:val="Cha1"/>
    <w:basedOn w:val="Normal"/>
    <w:next w:val="FootnoteText"/>
    <w:uiPriority w:val="99"/>
    <w:unhideWhenUsed/>
    <w:qFormat/>
    <w:rsid w:val="003F7868"/>
    <w:pPr>
      <w:spacing w:after="0" w:line="240" w:lineRule="auto"/>
    </w:pPr>
    <w:rPr>
      <w:sz w:val="20"/>
      <w:szCs w:val="20"/>
    </w:rPr>
  </w:style>
  <w:style w:type="table" w:styleId="GridTable4-Accent1">
    <w:name w:val="Grid Table 4 Accent 1"/>
    <w:basedOn w:val="TableNormal"/>
    <w:uiPriority w:val="49"/>
    <w:rsid w:val="003F786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3F786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qFormat/>
    <w:rsid w:val="003F7868"/>
    <w:pPr>
      <w:spacing w:after="0" w:line="240" w:lineRule="auto"/>
      <w:jc w:val="center"/>
    </w:pPr>
    <w:rPr>
      <w:rFonts w:ascii="CRO_Swiss-Normal" w:eastAsia="Times New Roman" w:hAnsi="CRO_Swiss-Normal" w:cs="Times New Roman"/>
      <w:b/>
      <w:sz w:val="24"/>
      <w:szCs w:val="20"/>
      <w:lang w:val="en-US" w:eastAsia="hr-HR"/>
    </w:rPr>
  </w:style>
  <w:style w:type="character" w:customStyle="1" w:styleId="TitleChar">
    <w:name w:val="Title Char"/>
    <w:basedOn w:val="DefaultParagraphFont"/>
    <w:link w:val="Title"/>
    <w:rsid w:val="003F7868"/>
    <w:rPr>
      <w:rFonts w:ascii="CRO_Swiss-Normal" w:eastAsia="Times New Roman" w:hAnsi="CRO_Swiss-Normal" w:cs="Times New Roman"/>
      <w:b/>
      <w:sz w:val="24"/>
      <w:szCs w:val="20"/>
      <w:lang w:val="en-US" w:eastAsia="hr-HR"/>
    </w:rPr>
  </w:style>
  <w:style w:type="paragraph" w:styleId="NoSpacing">
    <w:name w:val="No Spacing"/>
    <w:uiPriority w:val="1"/>
    <w:qFormat/>
    <w:rsid w:val="003F7868"/>
    <w:pPr>
      <w:spacing w:after="0" w:line="240" w:lineRule="auto"/>
    </w:pPr>
    <w:rPr>
      <w:lang w:val="en-US"/>
    </w:rPr>
  </w:style>
  <w:style w:type="table" w:styleId="GridTable5Dark-Accent1">
    <w:name w:val="Grid Table 5 Dark Accent 1"/>
    <w:basedOn w:val="TableNormal"/>
    <w:uiPriority w:val="50"/>
    <w:rsid w:val="003F786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39"/>
    <w:rsid w:val="003F7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13EFA-A30B-46FF-BC22-8CAEA0F6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FMF</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bozidarka jelic-stanic</dc:creator>
  <cp:keywords/>
  <dc:description/>
  <cp:lastModifiedBy>bozidarka jelic-stanic</cp:lastModifiedBy>
  <cp:revision>7</cp:revision>
  <dcterms:created xsi:type="dcterms:W3CDTF">2021-03-25T13:09:00Z</dcterms:created>
  <dcterms:modified xsi:type="dcterms:W3CDTF">2021-03-31T07:53:00Z</dcterms:modified>
</cp:coreProperties>
</file>